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5E" w:rsidRDefault="008C3B5E" w:rsidP="00F67020">
      <w:pPr>
        <w:spacing w:after="120"/>
      </w:pPr>
      <w:bookmarkStart w:id="0" w:name="_GoBack"/>
      <w:bookmarkEnd w:id="0"/>
    </w:p>
    <w:p w:rsidR="001A23DC" w:rsidRPr="00AB32AA" w:rsidRDefault="001A23DC" w:rsidP="00F67020">
      <w:pPr>
        <w:spacing w:after="120"/>
        <w:rPr>
          <w:b/>
        </w:rPr>
      </w:pPr>
      <w:r w:rsidRPr="00C44149">
        <w:rPr>
          <w:rStyle w:val="Heading1Char"/>
        </w:rPr>
        <w:t>POLICY:</w:t>
      </w:r>
      <w:r w:rsidRPr="00C44149">
        <w:rPr>
          <w:rStyle w:val="Heading1Char"/>
        </w:rPr>
        <w:tab/>
      </w:r>
      <w:r w:rsidRPr="00176677">
        <w:rPr>
          <w:rStyle w:val="Heading1Char"/>
        </w:rPr>
        <w:t>HE Fees Policy</w:t>
      </w:r>
    </w:p>
    <w:p w:rsidR="001A23DC" w:rsidRPr="004B6DA3" w:rsidRDefault="004B6DA3" w:rsidP="004B6DA3">
      <w:pPr>
        <w:pBdr>
          <w:bottom w:val="single" w:sz="4" w:space="1" w:color="auto"/>
        </w:pBdr>
        <w:jc w:val="right"/>
        <w:rPr>
          <w:b/>
          <w:sz w:val="18"/>
          <w:szCs w:val="18"/>
        </w:rPr>
      </w:pPr>
      <w:r>
        <w:t xml:space="preserve">            </w:t>
      </w:r>
    </w:p>
    <w:p w:rsidR="001A23DC" w:rsidRPr="002368B1" w:rsidRDefault="001A23DC" w:rsidP="00F67020">
      <w:pPr>
        <w:spacing w:before="120" w:after="120"/>
        <w:rPr>
          <w:b/>
        </w:rPr>
      </w:pPr>
      <w:r>
        <w:t>Approval required by:</w:t>
      </w:r>
      <w:r>
        <w:tab/>
      </w:r>
      <w:r>
        <w:tab/>
      </w:r>
      <w:r w:rsidR="000054DF" w:rsidRPr="000054DF">
        <w:t>SL</w:t>
      </w:r>
      <w:r w:rsidRPr="000054DF">
        <w:t>T</w:t>
      </w:r>
      <w:r w:rsidRPr="000054DF">
        <w:tab/>
      </w:r>
      <w:r w:rsidRPr="002368B1">
        <w:rPr>
          <w:b/>
        </w:rPr>
        <w:tab/>
      </w:r>
      <w:r w:rsidRPr="002368B1">
        <w:rPr>
          <w:b/>
        </w:rPr>
        <w:tab/>
      </w:r>
      <w:r w:rsidRPr="001949E0">
        <w:t>Y</w:t>
      </w:r>
      <w:r w:rsidRPr="001949E0">
        <w:tab/>
        <w:t xml:space="preserve">Governing Body </w:t>
      </w:r>
      <w:r w:rsidRPr="001949E0">
        <w:tab/>
        <w:t>Y</w:t>
      </w:r>
    </w:p>
    <w:p w:rsidR="001A23DC" w:rsidRPr="007A4456" w:rsidRDefault="001A23DC" w:rsidP="00F67020">
      <w:pPr>
        <w:spacing w:after="120"/>
      </w:pPr>
      <w:r w:rsidRPr="007A4456">
        <w:t>SMT Lead:</w:t>
      </w:r>
      <w:r>
        <w:tab/>
      </w:r>
      <w:r>
        <w:tab/>
      </w:r>
      <w:r>
        <w:tab/>
        <w:t xml:space="preserve">VP </w:t>
      </w:r>
      <w:r w:rsidR="003207C5">
        <w:t xml:space="preserve">Curriculum </w:t>
      </w:r>
      <w:r w:rsidR="002E4AD6">
        <w:t xml:space="preserve"> </w:t>
      </w:r>
    </w:p>
    <w:p w:rsidR="002403BD" w:rsidRDefault="001A23DC" w:rsidP="00F67020">
      <w:pPr>
        <w:spacing w:after="120"/>
      </w:pPr>
      <w:r w:rsidRPr="007A4456">
        <w:t>Responsible Manager</w:t>
      </w:r>
      <w:r>
        <w:t>:</w:t>
      </w:r>
      <w:r>
        <w:tab/>
      </w:r>
      <w:r>
        <w:tab/>
      </w:r>
      <w:r w:rsidR="000439C6">
        <w:t>D</w:t>
      </w:r>
      <w:r w:rsidR="002403BD">
        <w:t>irector of Quality (HE)</w:t>
      </w:r>
    </w:p>
    <w:p w:rsidR="001A23DC" w:rsidRPr="007A4456" w:rsidRDefault="001A23DC" w:rsidP="00F67020">
      <w:pPr>
        <w:spacing w:after="120"/>
      </w:pPr>
      <w:r w:rsidRPr="007A4456">
        <w:t>Date approved</w:t>
      </w:r>
      <w:r w:rsidR="00176677">
        <w:t>:</w:t>
      </w:r>
      <w:r w:rsidR="00176677">
        <w:tab/>
      </w:r>
      <w:r w:rsidR="00176677">
        <w:tab/>
      </w:r>
      <w:r w:rsidR="00732C38">
        <w:t>November 2018</w:t>
      </w:r>
      <w:r w:rsidR="00176677">
        <w:tab/>
      </w:r>
      <w:r w:rsidR="00176677">
        <w:tab/>
      </w:r>
      <w:r w:rsidR="002403BD">
        <w:t xml:space="preserve"> </w:t>
      </w:r>
    </w:p>
    <w:p w:rsidR="001A23DC" w:rsidRPr="007A4456" w:rsidRDefault="001A23DC" w:rsidP="00F67020">
      <w:pPr>
        <w:spacing w:after="120"/>
      </w:pPr>
      <w:r w:rsidRPr="007A4456">
        <w:t>Date to be reviewed</w:t>
      </w:r>
      <w:r>
        <w:t>:</w:t>
      </w:r>
      <w:r w:rsidR="00EA29F5">
        <w:tab/>
      </w:r>
      <w:r w:rsidR="00EA29F5">
        <w:tab/>
      </w:r>
      <w:r w:rsidR="00732C38">
        <w:t>November 2019</w:t>
      </w:r>
      <w:r w:rsidR="00EA29F5">
        <w:tab/>
      </w:r>
    </w:p>
    <w:p w:rsidR="00BF5EEC" w:rsidRPr="007A4456" w:rsidRDefault="00BF5EEC" w:rsidP="00F67020">
      <w:pPr>
        <w:pBdr>
          <w:bottom w:val="single" w:sz="4" w:space="1" w:color="auto"/>
        </w:pBdr>
        <w:spacing w:after="120"/>
      </w:pPr>
    </w:p>
    <w:p w:rsidR="00BF5EEC" w:rsidRDefault="00BF5EEC" w:rsidP="00F67020">
      <w:pPr>
        <w:spacing w:after="120"/>
      </w:pPr>
      <w:r w:rsidRPr="007A4456">
        <w:t>Relevant to</w:t>
      </w:r>
      <w:r>
        <w:t>:</w:t>
      </w:r>
      <w:r w:rsidRPr="007A4456">
        <w:tab/>
      </w:r>
      <w:r w:rsidRPr="007A4456">
        <w:tab/>
      </w:r>
      <w:r w:rsidRPr="007A4456">
        <w:tab/>
        <w:t>Students</w:t>
      </w:r>
      <w:r w:rsidRPr="007A4456">
        <w:tab/>
      </w:r>
      <w:r w:rsidRPr="007A4456">
        <w:tab/>
      </w:r>
      <w:r>
        <w:t>Y</w:t>
      </w:r>
      <w:r>
        <w:tab/>
      </w:r>
      <w:r w:rsidRPr="007A4456">
        <w:t>Staff</w:t>
      </w:r>
      <w:r w:rsidR="002E4AD6">
        <w:tab/>
      </w:r>
      <w:r w:rsidR="002E4AD6">
        <w:tab/>
      </w:r>
      <w:r w:rsidR="002E4AD6">
        <w:tab/>
        <w:t>Y</w:t>
      </w:r>
    </w:p>
    <w:p w:rsidR="00BF5EEC" w:rsidRPr="00661AAD" w:rsidRDefault="00BF5EEC" w:rsidP="00F67020">
      <w:pPr>
        <w:spacing w:after="120"/>
      </w:pPr>
      <w:r>
        <w:tab/>
      </w:r>
      <w:r>
        <w:tab/>
      </w:r>
      <w:r>
        <w:tab/>
      </w:r>
      <w:r>
        <w:tab/>
        <w:t>Visitors</w:t>
      </w:r>
      <w:r w:rsidRPr="007A4456">
        <w:tab/>
      </w:r>
      <w:r>
        <w:tab/>
        <w:t>N</w:t>
      </w:r>
    </w:p>
    <w:p w:rsidR="00BF5EEC" w:rsidRDefault="00BF5EEC" w:rsidP="00F67020">
      <w:pPr>
        <w:spacing w:after="120"/>
        <w:rPr>
          <w:rFonts w:cs="Arial"/>
        </w:rPr>
      </w:pPr>
      <w:r>
        <w:rPr>
          <w:rFonts w:cs="Arial"/>
        </w:rPr>
        <w:t>Relevant to: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All students</w:t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:rsidR="00BF5EEC" w:rsidRDefault="00BF5EEC" w:rsidP="00F67020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16-18 Vocational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Sixth Form</w:t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:rsidR="00BF5EEC" w:rsidRDefault="00BF5EEC" w:rsidP="00F67020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Higher Education</w:t>
      </w:r>
      <w:r>
        <w:rPr>
          <w:rFonts w:cs="Arial"/>
        </w:rPr>
        <w:tab/>
      </w:r>
      <w:r>
        <w:t>Y</w:t>
      </w:r>
      <w:r>
        <w:rPr>
          <w:rFonts w:cs="Arial"/>
        </w:rPr>
        <w:tab/>
        <w:t>Adults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94488">
        <w:t>Y</w:t>
      </w:r>
    </w:p>
    <w:p w:rsidR="00BF5EEC" w:rsidRDefault="00BF5EEC" w:rsidP="00F67020">
      <w:pPr>
        <w:spacing w:after="120"/>
        <w:ind w:left="2160" w:firstLine="720"/>
        <w:rPr>
          <w:rFonts w:cs="Arial"/>
        </w:rPr>
      </w:pPr>
      <w:r>
        <w:rPr>
          <w:rFonts w:cs="Arial"/>
        </w:rPr>
        <w:t>Apprenticeships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14-16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:rsidR="00BF5EEC" w:rsidRPr="007A4456" w:rsidRDefault="00BF5EEC" w:rsidP="00F67020">
      <w:pPr>
        <w:spacing w:after="120"/>
        <w:ind w:left="2160" w:firstLine="720"/>
        <w:rPr>
          <w:rFonts w:cs="Arial"/>
        </w:rPr>
      </w:pPr>
      <w:r>
        <w:rPr>
          <w:rFonts w:cs="Arial"/>
        </w:rPr>
        <w:t>Other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  <w:r>
        <w:tab/>
        <w:t>…………………………..</w:t>
      </w:r>
    </w:p>
    <w:p w:rsidR="00BF5EEC" w:rsidRDefault="00BF5EEC" w:rsidP="00F67020">
      <w:pPr>
        <w:spacing w:after="120"/>
      </w:pPr>
      <w:r>
        <w:t>Relevant to:</w:t>
      </w:r>
      <w:r>
        <w:tab/>
      </w:r>
      <w:r>
        <w:tab/>
      </w:r>
      <w:r>
        <w:tab/>
        <w:t>All staff</w:t>
      </w:r>
      <w:r>
        <w:tab/>
      </w:r>
      <w:r>
        <w:tab/>
        <w:t>N</w:t>
      </w:r>
      <w:r>
        <w:tab/>
      </w:r>
    </w:p>
    <w:p w:rsidR="00BF5EEC" w:rsidRDefault="00694488" w:rsidP="00F67020">
      <w:pPr>
        <w:spacing w:after="120"/>
      </w:pPr>
      <w:r>
        <w:tab/>
      </w:r>
      <w:r>
        <w:tab/>
      </w:r>
      <w:r>
        <w:tab/>
      </w:r>
      <w:r>
        <w:tab/>
        <w:t>Board</w:t>
      </w:r>
      <w:r>
        <w:tab/>
      </w:r>
      <w:r>
        <w:tab/>
      </w:r>
      <w:r>
        <w:tab/>
        <w:t>N</w:t>
      </w:r>
      <w:r>
        <w:tab/>
        <w:t>SPH</w:t>
      </w:r>
      <w:r>
        <w:tab/>
      </w:r>
      <w:r>
        <w:tab/>
      </w:r>
      <w:r>
        <w:tab/>
      </w:r>
      <w:r w:rsidR="00BF5EEC">
        <w:t>N</w:t>
      </w:r>
    </w:p>
    <w:p w:rsidR="00BF5EEC" w:rsidRDefault="00694488" w:rsidP="00F67020">
      <w:pPr>
        <w:spacing w:after="120"/>
        <w:ind w:left="2160" w:firstLine="720"/>
      </w:pPr>
      <w:r>
        <w:t>Managers</w:t>
      </w:r>
      <w:r>
        <w:tab/>
      </w:r>
      <w:r>
        <w:tab/>
      </w:r>
      <w:r w:rsidR="00BF5EEC">
        <w:t>N</w:t>
      </w:r>
    </w:p>
    <w:p w:rsidR="00BF5EEC" w:rsidRDefault="00BF5EEC" w:rsidP="00F67020">
      <w:pPr>
        <w:spacing w:after="120"/>
      </w:pPr>
      <w:r>
        <w:tab/>
      </w:r>
      <w:r>
        <w:tab/>
      </w:r>
      <w:r>
        <w:tab/>
      </w:r>
      <w:r>
        <w:tab/>
        <w:t>Teach</w:t>
      </w:r>
      <w:r w:rsidR="00694488">
        <w:t>ing staff</w:t>
      </w:r>
      <w:r w:rsidR="00694488">
        <w:tab/>
      </w:r>
      <w:r w:rsidR="00694488">
        <w:tab/>
      </w:r>
      <w:r>
        <w:t>N</w:t>
      </w:r>
      <w:r>
        <w:tab/>
        <w:t>Support staff</w:t>
      </w:r>
      <w:r>
        <w:tab/>
      </w:r>
      <w:r>
        <w:tab/>
        <w:t>N</w:t>
      </w:r>
    </w:p>
    <w:p w:rsidR="00BF5EEC" w:rsidRDefault="00BF5EEC" w:rsidP="00F67020">
      <w:pPr>
        <w:pBdr>
          <w:bottom w:val="single" w:sz="4" w:space="1" w:color="auto"/>
        </w:pBdr>
        <w:spacing w:after="120"/>
      </w:pPr>
    </w:p>
    <w:p w:rsidR="00BF5EEC" w:rsidRDefault="00BF5EEC" w:rsidP="00F67020">
      <w:pPr>
        <w:spacing w:after="120"/>
      </w:pPr>
      <w:r w:rsidRPr="007A4456">
        <w:t xml:space="preserve">Accessible to </w:t>
      </w:r>
      <w:r>
        <w:tab/>
      </w:r>
      <w:r>
        <w:tab/>
      </w:r>
      <w:r>
        <w:tab/>
      </w:r>
      <w:r w:rsidRPr="007A4456">
        <w:t>Students</w:t>
      </w:r>
      <w:r>
        <w:tab/>
      </w:r>
      <w:r w:rsidR="00694488">
        <w:tab/>
        <w:t>Y</w:t>
      </w:r>
      <w:r w:rsidR="00694488">
        <w:tab/>
        <w:t>Staff</w:t>
      </w:r>
      <w:r w:rsidR="00694488">
        <w:tab/>
      </w:r>
      <w:r w:rsidR="00694488">
        <w:tab/>
      </w:r>
      <w:r w:rsidR="00694488">
        <w:tab/>
        <w:t>Y</w:t>
      </w:r>
    </w:p>
    <w:p w:rsidR="00BF5EEC" w:rsidRDefault="002E4AD6" w:rsidP="00F67020">
      <w:pPr>
        <w:spacing w:after="120"/>
      </w:pPr>
      <w:r>
        <w:t>Friendly version</w:t>
      </w:r>
      <w:r>
        <w:tab/>
      </w:r>
      <w:r>
        <w:tab/>
        <w:t>Students</w:t>
      </w:r>
      <w:r>
        <w:tab/>
      </w:r>
      <w:r>
        <w:tab/>
        <w:t>Y</w:t>
      </w:r>
      <w:r>
        <w:tab/>
        <w:t>Staff</w:t>
      </w:r>
      <w:r>
        <w:tab/>
      </w:r>
      <w:r>
        <w:tab/>
      </w:r>
      <w:r>
        <w:tab/>
        <w:t>Y</w:t>
      </w:r>
    </w:p>
    <w:p w:rsidR="001A23DC" w:rsidRDefault="001A23DC" w:rsidP="00F67020">
      <w:pPr>
        <w:pBdr>
          <w:bottom w:val="single" w:sz="4" w:space="1" w:color="auto"/>
        </w:pBdr>
        <w:spacing w:after="120"/>
      </w:pPr>
    </w:p>
    <w:p w:rsidR="001A23DC" w:rsidRDefault="001A23DC" w:rsidP="00F67020">
      <w:pPr>
        <w:spacing w:after="120"/>
        <w:ind w:left="2160" w:firstLine="720"/>
      </w:pPr>
      <w:r>
        <w:t>EQIA required</w:t>
      </w:r>
      <w:r>
        <w:tab/>
      </w:r>
      <w:r>
        <w:tab/>
        <w:t>N</w:t>
      </w:r>
    </w:p>
    <w:p w:rsidR="001A23DC" w:rsidRDefault="001A23DC" w:rsidP="00F67020">
      <w:pPr>
        <w:pBdr>
          <w:bottom w:val="single" w:sz="4" w:space="1" w:color="auto"/>
        </w:pBdr>
        <w:spacing w:after="120"/>
      </w:pPr>
    </w:p>
    <w:p w:rsidR="001A23DC" w:rsidRPr="005F3A92" w:rsidRDefault="001A23DC" w:rsidP="00F67020">
      <w:pPr>
        <w:spacing w:after="120"/>
        <w:rPr>
          <w:b/>
        </w:rPr>
      </w:pPr>
      <w:r w:rsidRPr="005F3A92">
        <w:rPr>
          <w:b/>
        </w:rPr>
        <w:t>Significant changes to policy</w:t>
      </w:r>
    </w:p>
    <w:p w:rsidR="001A23DC" w:rsidRDefault="002403BD" w:rsidP="00F67020">
      <w:pPr>
        <w:spacing w:after="120"/>
      </w:pPr>
      <w:r>
        <w:t>Removal of Refund section</w:t>
      </w:r>
      <w:r w:rsidR="002E4AD6">
        <w:t>.</w:t>
      </w:r>
    </w:p>
    <w:p w:rsidR="005E220C" w:rsidRDefault="005E220C" w:rsidP="00F67020">
      <w:pPr>
        <w:pBdr>
          <w:bottom w:val="single" w:sz="4" w:space="1" w:color="auto"/>
        </w:pBdr>
        <w:spacing w:after="120"/>
      </w:pPr>
    </w:p>
    <w:p w:rsidR="001A23DC" w:rsidRPr="005F3A92" w:rsidRDefault="001A23DC" w:rsidP="00F67020">
      <w:pPr>
        <w:spacing w:after="120"/>
        <w:rPr>
          <w:b/>
        </w:rPr>
      </w:pPr>
      <w:r w:rsidRPr="005F3A92">
        <w:rPr>
          <w:b/>
        </w:rPr>
        <w:t>Impact of changes</w:t>
      </w:r>
    </w:p>
    <w:p w:rsidR="001A23DC" w:rsidRPr="000439C6" w:rsidRDefault="000439C6" w:rsidP="00F67020">
      <w:pPr>
        <w:spacing w:after="120"/>
      </w:pPr>
      <w:r>
        <w:t xml:space="preserve">The Refund section has been modified to work in conjunction with the new </w:t>
      </w:r>
      <w:r w:rsidRPr="002403BD">
        <w:rPr>
          <w:b/>
        </w:rPr>
        <w:t>Higher Education Refund and Compensation (Non-Continuation) Policy</w:t>
      </w:r>
      <w:r>
        <w:t xml:space="preserve"> required for registration with the Office for Students.</w:t>
      </w:r>
    </w:p>
    <w:p w:rsidR="001A23DC" w:rsidRDefault="001A23DC" w:rsidP="00F67020">
      <w:pPr>
        <w:pBdr>
          <w:bottom w:val="single" w:sz="4" w:space="1" w:color="auto"/>
        </w:pBdr>
        <w:spacing w:after="120"/>
      </w:pPr>
    </w:p>
    <w:p w:rsidR="005E220C" w:rsidRDefault="000E5512" w:rsidP="00F67020">
      <w:pPr>
        <w:pStyle w:val="Heading1"/>
      </w:pPr>
      <w:r>
        <w:lastRenderedPageBreak/>
        <w:fldChar w:fldCharType="begin"/>
      </w:r>
      <w:r w:rsidR="005E220C">
        <w:instrText xml:space="preserve"> TITLE </w:instrText>
      </w:r>
      <w:r>
        <w:fldChar w:fldCharType="end"/>
      </w:r>
      <w:r w:rsidR="005E220C">
        <w:t>SCOPE AND PURPOSE</w:t>
      </w:r>
    </w:p>
    <w:p w:rsidR="005E220C" w:rsidRDefault="00FF685F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To define the c</w:t>
      </w:r>
      <w:r w:rsidR="005E220C">
        <w:rPr>
          <w:rFonts w:cs="Arial"/>
          <w:bCs/>
          <w:lang w:eastAsia="en-GB"/>
        </w:rPr>
        <w:t xml:space="preserve">ollege policy for home students (as defined by </w:t>
      </w:r>
      <w:r w:rsidR="005E220C">
        <w:rPr>
          <w:rFonts w:cs="Arial"/>
          <w:bCs/>
          <w:i/>
          <w:lang w:eastAsia="en-GB"/>
        </w:rPr>
        <w:t>Statutory Instrument 2007 Number 779, Education England, The (Fees and Awards) (England) Regulation 2007</w:t>
      </w:r>
      <w:r w:rsidR="005E220C">
        <w:rPr>
          <w:rFonts w:cs="Arial"/>
          <w:bCs/>
          <w:lang w:eastAsia="en-GB"/>
        </w:rPr>
        <w:t>) around tuition fees for prescribed Higher Education courses in the 201</w:t>
      </w:r>
      <w:r w:rsidR="00333FBB">
        <w:rPr>
          <w:rFonts w:cs="Arial"/>
          <w:bCs/>
          <w:lang w:eastAsia="en-GB"/>
        </w:rPr>
        <w:t>8</w:t>
      </w:r>
      <w:r w:rsidR="005E220C">
        <w:rPr>
          <w:rFonts w:cs="Arial"/>
          <w:bCs/>
          <w:lang w:eastAsia="en-GB"/>
        </w:rPr>
        <w:t>/1</w:t>
      </w:r>
      <w:r w:rsidR="00333FBB">
        <w:rPr>
          <w:rFonts w:cs="Arial"/>
          <w:bCs/>
          <w:lang w:eastAsia="en-GB"/>
        </w:rPr>
        <w:t>9</w:t>
      </w:r>
      <w:r w:rsidR="005E220C">
        <w:rPr>
          <w:rFonts w:cs="Arial"/>
          <w:bCs/>
          <w:lang w:eastAsia="en-GB"/>
        </w:rPr>
        <w:t xml:space="preserve"> academic year.</w:t>
      </w:r>
    </w:p>
    <w:p w:rsidR="005E220C" w:rsidRDefault="005E220C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lang w:eastAsia="en-GB"/>
        </w:rPr>
      </w:pPr>
      <w:r>
        <w:rPr>
          <w:rFonts w:cs="Arial"/>
          <w:bCs/>
          <w:lang w:eastAsia="en-GB"/>
        </w:rPr>
        <w:t>A</w:t>
      </w:r>
      <w:r>
        <w:rPr>
          <w:rFonts w:cs="Arial"/>
          <w:lang w:eastAsia="en-GB"/>
        </w:rPr>
        <w:t xml:space="preserve"> prescribed Higher Education course is defined as a Higher National Certificate, Higher National Diploma, Foundation Degree, Degree, Professional Graduate/Post graduation Certificate in Education or a Certificate in Education.</w:t>
      </w:r>
    </w:p>
    <w:p w:rsidR="005E220C" w:rsidRDefault="005E220C" w:rsidP="00F67020">
      <w:pPr>
        <w:rPr>
          <w:rFonts w:cs="Arial"/>
          <w:lang w:eastAsia="en-GB"/>
        </w:rPr>
      </w:pPr>
    </w:p>
    <w:p w:rsidR="00C44149" w:rsidRDefault="00C44149" w:rsidP="00F67020">
      <w:pPr>
        <w:rPr>
          <w:rFonts w:cs="Arial"/>
          <w:lang w:eastAsia="en-GB"/>
        </w:rPr>
      </w:pPr>
    </w:p>
    <w:p w:rsidR="005E220C" w:rsidRDefault="005E220C" w:rsidP="00F67020">
      <w:pPr>
        <w:pStyle w:val="Heading1"/>
        <w:rPr>
          <w:lang w:eastAsia="en-GB"/>
        </w:rPr>
      </w:pPr>
      <w:r>
        <w:rPr>
          <w:lang w:eastAsia="en-GB"/>
        </w:rPr>
        <w:t>General Principles</w:t>
      </w: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All students that follow a prescribed Higher Education course will pay a fee.  Home students following a prescribed Higher Education course can access loans secured through the Student Loans Company</w:t>
      </w:r>
      <w:r w:rsidR="00E154BB">
        <w:rPr>
          <w:rFonts w:cs="Arial"/>
          <w:bCs/>
          <w:lang w:eastAsia="en-GB"/>
        </w:rPr>
        <w:t xml:space="preserve"> (SLC)</w:t>
      </w:r>
      <w:r>
        <w:rPr>
          <w:rFonts w:cs="Arial"/>
          <w:bCs/>
          <w:lang w:eastAsia="en-GB"/>
        </w:rPr>
        <w:t xml:space="preserve"> to support the payment of fees.</w:t>
      </w:r>
    </w:p>
    <w:p w:rsidR="00F67020" w:rsidRDefault="00F67020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Students can pay fees that are a combination of individual/employer contribution and a loan.  Students should identify whether fees are funded through loan, self-funded or sponsorship at enrolment at the beginning of each year.  This information is also requested at interview stage and recorded on the interview decision form.</w:t>
      </w:r>
    </w:p>
    <w:p w:rsidR="005E220C" w:rsidRDefault="005E220C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pStyle w:val="Heading2"/>
        <w:rPr>
          <w:lang w:eastAsia="en-GB"/>
        </w:rPr>
      </w:pPr>
      <w:r>
        <w:rPr>
          <w:lang w:eastAsia="en-GB"/>
        </w:rPr>
        <w:t>Fee Structure for ‘Home’ Students</w:t>
      </w: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fee for full time </w:t>
      </w:r>
      <w:r w:rsidR="002403BD">
        <w:rPr>
          <w:rFonts w:cs="Arial"/>
          <w:bCs/>
          <w:lang w:eastAsia="en-GB"/>
        </w:rPr>
        <w:t xml:space="preserve">Higher Nationals, Foundation Degrees </w:t>
      </w:r>
      <w:r>
        <w:rPr>
          <w:rFonts w:cs="Arial"/>
          <w:bCs/>
          <w:lang w:eastAsia="en-GB"/>
        </w:rPr>
        <w:t xml:space="preserve">and other undergraduate programmes validated by </w:t>
      </w:r>
      <w:r w:rsidR="002403BD">
        <w:rPr>
          <w:rFonts w:cs="Arial"/>
          <w:bCs/>
          <w:lang w:eastAsia="en-GB"/>
        </w:rPr>
        <w:t xml:space="preserve">partner </w:t>
      </w:r>
      <w:r>
        <w:rPr>
          <w:rFonts w:cs="Arial"/>
          <w:bCs/>
          <w:lang w:eastAsia="en-GB"/>
        </w:rPr>
        <w:t xml:space="preserve">universities is </w:t>
      </w:r>
      <w:r w:rsidRPr="005B2534">
        <w:rPr>
          <w:rFonts w:cs="Arial"/>
          <w:b/>
          <w:bCs/>
          <w:lang w:eastAsia="en-GB"/>
        </w:rPr>
        <w:t>£5,995</w:t>
      </w:r>
      <w:r>
        <w:rPr>
          <w:rFonts w:cs="Arial"/>
          <w:bCs/>
          <w:lang w:eastAsia="en-GB"/>
        </w:rPr>
        <w:t xml:space="preserve"> for each year of study.</w:t>
      </w:r>
    </w:p>
    <w:p w:rsidR="005E220C" w:rsidRDefault="005E220C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fee for part time programmes is calculated and agreed on a course by course basis and will be a prorata figure based on the durati</w:t>
      </w:r>
      <w:r w:rsidR="00E154BB">
        <w:rPr>
          <w:rFonts w:cs="Arial"/>
          <w:bCs/>
          <w:lang w:eastAsia="en-GB"/>
        </w:rPr>
        <w:t>on and number of credits studied</w:t>
      </w:r>
      <w:r>
        <w:rPr>
          <w:rFonts w:cs="Arial"/>
          <w:bCs/>
          <w:lang w:eastAsia="en-GB"/>
        </w:rPr>
        <w:t xml:space="preserve"> per year compared to the equivalent full time </w:t>
      </w:r>
      <w:r w:rsidR="002403BD">
        <w:rPr>
          <w:rFonts w:cs="Arial"/>
          <w:bCs/>
          <w:lang w:eastAsia="en-GB"/>
        </w:rPr>
        <w:t>programme</w:t>
      </w:r>
      <w:r>
        <w:rPr>
          <w:rFonts w:cs="Arial"/>
          <w:bCs/>
          <w:lang w:eastAsia="en-GB"/>
        </w:rPr>
        <w:t xml:space="preserve">.  Please refer to the advertised fee for each </w:t>
      </w:r>
      <w:r w:rsidR="002403BD">
        <w:rPr>
          <w:rFonts w:cs="Arial"/>
          <w:bCs/>
          <w:lang w:eastAsia="en-GB"/>
        </w:rPr>
        <w:t>programme</w:t>
      </w:r>
      <w:r>
        <w:rPr>
          <w:rFonts w:cs="Arial"/>
          <w:bCs/>
          <w:lang w:eastAsia="en-GB"/>
        </w:rPr>
        <w:t>.</w:t>
      </w:r>
    </w:p>
    <w:p w:rsidR="005E220C" w:rsidRDefault="005E220C" w:rsidP="00F67020">
      <w:pPr>
        <w:rPr>
          <w:rFonts w:cs="Arial"/>
          <w:lang w:eastAsia="en-GB"/>
        </w:rPr>
      </w:pPr>
    </w:p>
    <w:p w:rsidR="005E220C" w:rsidRDefault="005E220C" w:rsidP="00F67020">
      <w:pPr>
        <w:pStyle w:val="Heading2"/>
        <w:rPr>
          <w:lang w:eastAsia="en-GB"/>
        </w:rPr>
      </w:pPr>
      <w:r>
        <w:rPr>
          <w:lang w:eastAsia="en-GB"/>
        </w:rPr>
        <w:t>Payment</w:t>
      </w:r>
    </w:p>
    <w:p w:rsidR="00011B72" w:rsidRDefault="00011B72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</w:t>
      </w:r>
      <w:r w:rsidR="00FF685F">
        <w:rPr>
          <w:rFonts w:cs="Arial"/>
          <w:bCs/>
          <w:lang w:eastAsia="en-GB"/>
        </w:rPr>
        <w:t>student</w:t>
      </w:r>
      <w:r>
        <w:rPr>
          <w:rFonts w:cs="Arial"/>
          <w:bCs/>
          <w:lang w:eastAsia="en-GB"/>
        </w:rPr>
        <w:t xml:space="preserve"> is ultimately responsible for the fee being paid.</w:t>
      </w:r>
    </w:p>
    <w:p w:rsidR="00011B72" w:rsidRDefault="00011B72" w:rsidP="00F67020">
      <w:pPr>
        <w:rPr>
          <w:rFonts w:cs="Arial"/>
          <w:bCs/>
          <w:lang w:eastAsia="en-GB"/>
        </w:rPr>
      </w:pPr>
    </w:p>
    <w:p w:rsidR="00011B72" w:rsidRDefault="00011B72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Where the fee has been identified as being student self-funded, the individual student will be invoiced.  </w:t>
      </w:r>
    </w:p>
    <w:p w:rsidR="00011B72" w:rsidRDefault="00011B72" w:rsidP="00F67020">
      <w:pPr>
        <w:rPr>
          <w:rFonts w:cs="Arial"/>
          <w:bCs/>
          <w:lang w:eastAsia="en-GB"/>
        </w:rPr>
      </w:pPr>
    </w:p>
    <w:p w:rsidR="00011B72" w:rsidRDefault="00A77533" w:rsidP="00F67020">
      <w:pPr>
        <w:rPr>
          <w:rFonts w:cs="Arial"/>
          <w:lang w:eastAsia="en-GB"/>
        </w:rPr>
      </w:pPr>
      <w:r>
        <w:rPr>
          <w:rFonts w:cs="Arial"/>
          <w:lang w:eastAsia="en-GB"/>
        </w:rPr>
        <w:t>Home</w:t>
      </w:r>
      <w:r w:rsidR="005E220C">
        <w:rPr>
          <w:rFonts w:cs="Arial"/>
          <w:lang w:eastAsia="en-GB"/>
        </w:rPr>
        <w:t xml:space="preserve"> students </w:t>
      </w:r>
      <w:r w:rsidR="00011B72">
        <w:rPr>
          <w:rFonts w:cs="Arial"/>
          <w:lang w:eastAsia="en-GB"/>
        </w:rPr>
        <w:t xml:space="preserve">who are identified as self-funded will </w:t>
      </w:r>
      <w:r>
        <w:rPr>
          <w:rFonts w:cs="Arial"/>
          <w:lang w:eastAsia="en-GB"/>
        </w:rPr>
        <w:t xml:space="preserve">have to option to pay </w:t>
      </w:r>
      <w:r w:rsidR="00011B72">
        <w:rPr>
          <w:rFonts w:cs="Arial"/>
          <w:lang w:eastAsia="en-GB"/>
        </w:rPr>
        <w:t>their fees in full, or in instalments</w:t>
      </w:r>
      <w:r>
        <w:rPr>
          <w:rFonts w:cs="Arial"/>
          <w:lang w:eastAsia="en-GB"/>
        </w:rPr>
        <w:t xml:space="preserve">; </w:t>
      </w:r>
      <w:r w:rsidR="00011B72">
        <w:rPr>
          <w:rFonts w:cs="Arial"/>
          <w:lang w:eastAsia="en-GB"/>
        </w:rPr>
        <w:t xml:space="preserve">a third on entry to the course, followed by four equal instalments payable by direct debit. </w:t>
      </w:r>
    </w:p>
    <w:p w:rsidR="00011B72" w:rsidRDefault="00011B72" w:rsidP="00F67020">
      <w:pPr>
        <w:rPr>
          <w:rFonts w:cs="Arial"/>
          <w:lang w:eastAsia="en-GB"/>
        </w:rPr>
      </w:pPr>
    </w:p>
    <w:p w:rsidR="005E220C" w:rsidRDefault="00011B72" w:rsidP="00F67020">
      <w:pPr>
        <w:rPr>
          <w:rFonts w:cs="Arial"/>
          <w:lang w:eastAsia="en-GB"/>
        </w:rPr>
      </w:pPr>
      <w:r>
        <w:rPr>
          <w:rFonts w:cs="Arial"/>
          <w:lang w:eastAsia="en-GB"/>
        </w:rPr>
        <w:t>Where students have obtained a s</w:t>
      </w:r>
      <w:r w:rsidR="00A77533">
        <w:rPr>
          <w:rFonts w:cs="Arial"/>
          <w:lang w:eastAsia="en-GB"/>
        </w:rPr>
        <w:t xml:space="preserve">tudent loan for their fees the </w:t>
      </w:r>
      <w:r>
        <w:rPr>
          <w:rFonts w:cs="Arial"/>
          <w:lang w:eastAsia="en-GB"/>
        </w:rPr>
        <w:t xml:space="preserve">college will receive payments in </w:t>
      </w:r>
      <w:r w:rsidR="005E220C">
        <w:rPr>
          <w:rFonts w:cs="Arial"/>
          <w:lang w:eastAsia="en-GB"/>
        </w:rPr>
        <w:t>in three parts:</w:t>
      </w:r>
    </w:p>
    <w:p w:rsidR="005E220C" w:rsidRPr="00EA29F5" w:rsidRDefault="005E220C" w:rsidP="00F67020">
      <w:pPr>
        <w:pStyle w:val="BulletList1"/>
      </w:pPr>
      <w:r w:rsidRPr="00EA29F5">
        <w:t xml:space="preserve">25% of the fee will be </w:t>
      </w:r>
      <w:r w:rsidR="00011B72" w:rsidRPr="00EA29F5">
        <w:t>received following attendance co</w:t>
      </w:r>
      <w:r w:rsidR="005B2534">
        <w:t>nfirmation at the start of the programme</w:t>
      </w:r>
      <w:r w:rsidR="00C44149">
        <w:t>.</w:t>
      </w:r>
    </w:p>
    <w:p w:rsidR="005E220C" w:rsidRPr="00EA29F5" w:rsidRDefault="005E220C" w:rsidP="00F67020">
      <w:pPr>
        <w:pStyle w:val="BulletList1"/>
      </w:pPr>
      <w:r w:rsidRPr="00EA29F5">
        <w:t xml:space="preserve">25% of the fee will be collected in </w:t>
      </w:r>
      <w:r w:rsidR="00011B72" w:rsidRPr="00EA29F5">
        <w:t>semester</w:t>
      </w:r>
      <w:r w:rsidRPr="00EA29F5">
        <w:t xml:space="preserve"> 2</w:t>
      </w:r>
      <w:r w:rsidR="00C44149">
        <w:t>.</w:t>
      </w:r>
    </w:p>
    <w:p w:rsidR="00C76071" w:rsidRPr="00EA29F5" w:rsidRDefault="005E220C" w:rsidP="00F67020">
      <w:pPr>
        <w:pStyle w:val="BulletList1"/>
      </w:pPr>
      <w:r w:rsidRPr="00EA29F5">
        <w:t xml:space="preserve">50% of the fee will be collected in </w:t>
      </w:r>
      <w:r w:rsidR="00011B72" w:rsidRPr="00EA29F5">
        <w:t>semester</w:t>
      </w:r>
      <w:r w:rsidRPr="00EA29F5">
        <w:t xml:space="preserve"> 3</w:t>
      </w:r>
      <w:r w:rsidR="00C44149">
        <w:t>.</w:t>
      </w:r>
    </w:p>
    <w:p w:rsidR="00C76071" w:rsidRDefault="00C76071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When SLC issues are not resolved the student will be invoiced.</w:t>
      </w:r>
    </w:p>
    <w:p w:rsidR="005120C2" w:rsidRDefault="005120C2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Where the fee has been identified as being paid by sponsorship, the </w:t>
      </w:r>
      <w:r w:rsidR="00A554DF">
        <w:rPr>
          <w:rFonts w:cs="Arial"/>
          <w:bCs/>
          <w:lang w:eastAsia="en-GB"/>
        </w:rPr>
        <w:t>sponsor</w:t>
      </w:r>
      <w:r>
        <w:rPr>
          <w:rFonts w:cs="Arial"/>
          <w:bCs/>
          <w:lang w:eastAsia="en-GB"/>
        </w:rPr>
        <w:t xml:space="preserve"> will be invoiced if written agreement is provided</w:t>
      </w:r>
      <w:r w:rsidR="00A554DF">
        <w:rPr>
          <w:rFonts w:cs="Arial"/>
          <w:bCs/>
          <w:lang w:eastAsia="en-GB"/>
        </w:rPr>
        <w:t xml:space="preserve"> prior </w:t>
      </w:r>
      <w:r w:rsidR="00A77533">
        <w:rPr>
          <w:rFonts w:cs="Arial"/>
          <w:bCs/>
          <w:lang w:eastAsia="en-GB"/>
        </w:rPr>
        <w:t>to enrolment</w:t>
      </w:r>
      <w:r>
        <w:rPr>
          <w:rFonts w:cs="Arial"/>
          <w:bCs/>
          <w:lang w:eastAsia="en-GB"/>
        </w:rPr>
        <w:t xml:space="preserve">. </w:t>
      </w:r>
    </w:p>
    <w:p w:rsidR="005E220C" w:rsidRDefault="005E220C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lastRenderedPageBreak/>
        <w:t xml:space="preserve">Invoices will be sent preferably in advance of the first day of each </w:t>
      </w:r>
      <w:r w:rsidR="00011B72">
        <w:rPr>
          <w:rFonts w:cs="Arial"/>
          <w:bCs/>
          <w:lang w:eastAsia="en-GB"/>
        </w:rPr>
        <w:t>academic year.</w:t>
      </w:r>
      <w:r>
        <w:rPr>
          <w:rFonts w:cs="Arial"/>
          <w:bCs/>
          <w:lang w:eastAsia="en-GB"/>
        </w:rPr>
        <w:t xml:space="preserve">It is anticipated that the fee will be paid within 30 days.  </w:t>
      </w:r>
    </w:p>
    <w:p w:rsidR="00F67020" w:rsidRDefault="00F67020" w:rsidP="00F67020">
      <w:pPr>
        <w:rPr>
          <w:rFonts w:cs="Arial"/>
          <w:bCs/>
          <w:lang w:eastAsia="en-GB"/>
        </w:rPr>
      </w:pPr>
    </w:p>
    <w:p w:rsidR="005E220C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Within 14 days of receipt of an invoice a student should contact the </w:t>
      </w:r>
      <w:r w:rsidR="00FF685F">
        <w:rPr>
          <w:rFonts w:cs="Arial"/>
          <w:bCs/>
          <w:lang w:eastAsia="en-GB"/>
        </w:rPr>
        <w:t>c</w:t>
      </w:r>
      <w:r>
        <w:rPr>
          <w:rFonts w:cs="Arial"/>
          <w:bCs/>
          <w:lang w:eastAsia="en-GB"/>
        </w:rPr>
        <w:t>ollege if they are unable to pay.  Over the 30 day pe</w:t>
      </w:r>
      <w:r w:rsidR="00FF685F">
        <w:rPr>
          <w:rFonts w:cs="Arial"/>
          <w:bCs/>
          <w:lang w:eastAsia="en-GB"/>
        </w:rPr>
        <w:t>riod from invoice despatch the c</w:t>
      </w:r>
      <w:r>
        <w:rPr>
          <w:rFonts w:cs="Arial"/>
          <w:bCs/>
          <w:lang w:eastAsia="en-GB"/>
        </w:rPr>
        <w:t>ollege will work with students to resolve any issues.  If</w:t>
      </w:r>
      <w:r w:rsidR="00E154BB">
        <w:rPr>
          <w:rFonts w:cs="Arial"/>
          <w:bCs/>
          <w:lang w:eastAsia="en-GB"/>
        </w:rPr>
        <w:t>,</w:t>
      </w:r>
      <w:r>
        <w:rPr>
          <w:rFonts w:cs="Arial"/>
          <w:bCs/>
          <w:lang w:eastAsia="en-GB"/>
        </w:rPr>
        <w:t xml:space="preserve"> at the end of this period</w:t>
      </w:r>
      <w:r w:rsidR="00E154BB">
        <w:rPr>
          <w:rFonts w:cs="Arial"/>
          <w:bCs/>
          <w:lang w:eastAsia="en-GB"/>
        </w:rPr>
        <w:t>,</w:t>
      </w:r>
      <w:r>
        <w:rPr>
          <w:rFonts w:cs="Arial"/>
          <w:bCs/>
          <w:lang w:eastAsia="en-GB"/>
        </w:rPr>
        <w:t xml:space="preserve"> the situation remains unresolved the </w:t>
      </w:r>
      <w:r w:rsidR="00FF685F">
        <w:rPr>
          <w:rFonts w:cs="Arial"/>
          <w:bCs/>
          <w:lang w:eastAsia="en-GB"/>
        </w:rPr>
        <w:t>c</w:t>
      </w:r>
      <w:r>
        <w:rPr>
          <w:rFonts w:cs="Arial"/>
          <w:bCs/>
          <w:lang w:eastAsia="en-GB"/>
        </w:rPr>
        <w:t>ollege reserves the right to withdraw the student from the programme.</w:t>
      </w:r>
    </w:p>
    <w:p w:rsidR="005B2534" w:rsidRDefault="005B2534" w:rsidP="00F67020">
      <w:pPr>
        <w:pStyle w:val="Heading2"/>
        <w:rPr>
          <w:lang w:eastAsia="en-GB"/>
        </w:rPr>
      </w:pPr>
    </w:p>
    <w:p w:rsidR="005E220C" w:rsidRDefault="005E220C" w:rsidP="00F67020">
      <w:pPr>
        <w:pStyle w:val="Heading2"/>
        <w:rPr>
          <w:lang w:eastAsia="en-GB"/>
        </w:rPr>
      </w:pPr>
      <w:r>
        <w:rPr>
          <w:lang w:eastAsia="en-GB"/>
        </w:rPr>
        <w:t>Non-payment of Fees</w:t>
      </w:r>
    </w:p>
    <w:p w:rsidR="005120C2" w:rsidRDefault="005E220C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</w:t>
      </w:r>
      <w:r w:rsidR="00FF685F">
        <w:rPr>
          <w:rFonts w:cs="Arial"/>
          <w:bCs/>
          <w:lang w:eastAsia="en-GB"/>
        </w:rPr>
        <w:t>c</w:t>
      </w:r>
      <w:r>
        <w:rPr>
          <w:rFonts w:cs="Arial"/>
          <w:bCs/>
          <w:lang w:eastAsia="en-GB"/>
        </w:rPr>
        <w:t>ollege may suspend continued study and/or prevent future enrolment on additional courses if any fees are outstanding.  If students fail to arrange payment of tuition fees, Barnsley</w:t>
      </w:r>
      <w:r w:rsidR="005B2534">
        <w:rPr>
          <w:rFonts w:cs="Arial"/>
          <w:bCs/>
          <w:lang w:eastAsia="en-GB"/>
        </w:rPr>
        <w:t xml:space="preserve"> College</w:t>
      </w:r>
      <w:r>
        <w:rPr>
          <w:rFonts w:cs="Arial"/>
          <w:bCs/>
          <w:lang w:eastAsia="en-GB"/>
        </w:rPr>
        <w:t xml:space="preserve"> will take action to suspend student accounts (including access/IT/Library Services) and ultimately students may be withdrawn from the course.</w:t>
      </w:r>
    </w:p>
    <w:p w:rsidR="008D011F" w:rsidRDefault="008D011F" w:rsidP="00F67020">
      <w:pPr>
        <w:rPr>
          <w:rFonts w:cs="Arial"/>
          <w:bCs/>
          <w:lang w:eastAsia="en-GB"/>
        </w:rPr>
      </w:pPr>
    </w:p>
    <w:p w:rsidR="00593995" w:rsidRDefault="00593995" w:rsidP="00F67020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Students will not be able to attend graduation if they have course fees outstanding.</w:t>
      </w:r>
    </w:p>
    <w:p w:rsidR="000439C6" w:rsidRDefault="000439C6" w:rsidP="00F67020">
      <w:pPr>
        <w:pStyle w:val="Heading2"/>
        <w:rPr>
          <w:lang w:eastAsia="en-GB"/>
        </w:rPr>
      </w:pPr>
    </w:p>
    <w:p w:rsidR="000439C6" w:rsidRPr="00E154BB" w:rsidRDefault="000439C6" w:rsidP="00F67020">
      <w:pPr>
        <w:pStyle w:val="Heading2"/>
        <w:rPr>
          <w:lang w:eastAsia="en-GB"/>
        </w:rPr>
      </w:pPr>
      <w:r w:rsidRPr="00E154BB">
        <w:rPr>
          <w:lang w:eastAsia="en-GB"/>
        </w:rPr>
        <w:t>Refunds</w:t>
      </w:r>
    </w:p>
    <w:p w:rsidR="000439C6" w:rsidRPr="00E154BB" w:rsidRDefault="00FF685F" w:rsidP="00F67020">
      <w:pPr>
        <w:rPr>
          <w:rFonts w:eastAsiaTheme="minorHAnsi"/>
          <w:lang w:eastAsia="en-GB"/>
        </w:rPr>
      </w:pPr>
      <w:r>
        <w:rPr>
          <w:lang w:eastAsia="en-GB"/>
        </w:rPr>
        <w:t>Where the c</w:t>
      </w:r>
      <w:r w:rsidR="000439C6" w:rsidRPr="00E154BB">
        <w:rPr>
          <w:lang w:eastAsia="en-GB"/>
        </w:rPr>
        <w:t xml:space="preserve">ollege is unable to commence or continue to deliver a particular programme of study, any refunds for fees already made by a student or employer will be addressed in accordance with the Higher Education Refund and Compensation Policy.  Where a student leaves a continuing programme of study and the student or employer has made a contribution to the fees, the refund of fees will only be approved in exceptional circumstances. </w:t>
      </w:r>
    </w:p>
    <w:p w:rsidR="000439C6" w:rsidRDefault="000439C6" w:rsidP="00F67020">
      <w:pPr>
        <w:pStyle w:val="Heading2"/>
        <w:rPr>
          <w:lang w:eastAsia="en-GB"/>
        </w:rPr>
      </w:pPr>
    </w:p>
    <w:p w:rsidR="005E220C" w:rsidRDefault="005E220C" w:rsidP="00F67020">
      <w:pPr>
        <w:pStyle w:val="Heading2"/>
        <w:rPr>
          <w:lang w:eastAsia="en-GB"/>
        </w:rPr>
      </w:pPr>
      <w:r>
        <w:rPr>
          <w:lang w:eastAsia="en-GB"/>
        </w:rPr>
        <w:t>Re-registration Fees</w:t>
      </w:r>
    </w:p>
    <w:p w:rsidR="005E220C" w:rsidRPr="00E7753A" w:rsidRDefault="005E220C" w:rsidP="00F67020">
      <w:pPr>
        <w:rPr>
          <w:lang w:eastAsia="en-GB"/>
        </w:rPr>
      </w:pPr>
      <w:r>
        <w:rPr>
          <w:rFonts w:cs="Arial"/>
          <w:lang w:eastAsia="en-GB"/>
        </w:rPr>
        <w:t>Students who fail one or more module</w:t>
      </w:r>
      <w:r w:rsidR="005B2534">
        <w:rPr>
          <w:rFonts w:cs="Arial"/>
          <w:lang w:eastAsia="en-GB"/>
        </w:rPr>
        <w:t>s</w:t>
      </w:r>
      <w:r>
        <w:rPr>
          <w:rFonts w:cs="Arial"/>
          <w:lang w:eastAsia="en-GB"/>
        </w:rPr>
        <w:t xml:space="preserve"> may be able to retake them the following year, subject to Course Assessment Board decisions and validating institution regulations.  The</w:t>
      </w:r>
      <w:r w:rsidR="00E7753A">
        <w:rPr>
          <w:rFonts w:cs="Arial"/>
          <w:lang w:eastAsia="en-GB"/>
        </w:rPr>
        <w:t xml:space="preserve"> resit fee will be charged based on a pro-rata basis depending on the number of credits required and the </w:t>
      </w:r>
      <w:r w:rsidR="00A77533">
        <w:rPr>
          <w:rFonts w:cs="Arial"/>
          <w:lang w:eastAsia="en-GB"/>
        </w:rPr>
        <w:t>number of</w:t>
      </w:r>
      <w:r w:rsidR="00E7753A">
        <w:rPr>
          <w:rFonts w:cs="Arial"/>
          <w:lang w:eastAsia="en-GB"/>
        </w:rPr>
        <w:t xml:space="preserve"> credits involved within the academic year for the qualification.</w:t>
      </w:r>
    </w:p>
    <w:p w:rsidR="005E220C" w:rsidRDefault="005E220C" w:rsidP="00F67020">
      <w:pPr>
        <w:pStyle w:val="Heading1"/>
        <w:rPr>
          <w:rFonts w:eastAsia="Times New Roman"/>
        </w:rPr>
      </w:pPr>
    </w:p>
    <w:p w:rsidR="00EA29F5" w:rsidRPr="00EA29F5" w:rsidRDefault="00EA29F5" w:rsidP="00F67020"/>
    <w:p w:rsidR="005E220C" w:rsidRDefault="000E5512" w:rsidP="00F67020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5E220C">
        <w:rPr>
          <w:rFonts w:eastAsia="Times New Roman"/>
        </w:rPr>
        <w:instrText xml:space="preserve"> TITLE </w:instrText>
      </w:r>
      <w:r>
        <w:rPr>
          <w:rFonts w:eastAsia="Times New Roman"/>
        </w:rPr>
        <w:fldChar w:fldCharType="end"/>
      </w:r>
      <w:r w:rsidR="005E220C">
        <w:rPr>
          <w:rFonts w:eastAsia="Times New Roman"/>
        </w:rPr>
        <w:t>FINANCIAL IMPLICATIONS</w:t>
      </w:r>
    </w:p>
    <w:p w:rsidR="005E220C" w:rsidRDefault="005E220C" w:rsidP="00F67020">
      <w:pPr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FF685F">
        <w:rPr>
          <w:rFonts w:eastAsia="Times New Roman" w:cs="Arial"/>
        </w:rPr>
        <w:t>c</w:t>
      </w:r>
      <w:r>
        <w:rPr>
          <w:rFonts w:eastAsia="Times New Roman" w:cs="Arial"/>
        </w:rPr>
        <w:t>ollege collects over £3 million of income from Higher Education fee</w:t>
      </w:r>
      <w:r w:rsidR="00833ADB">
        <w:rPr>
          <w:rFonts w:eastAsia="Times New Roman" w:cs="Arial"/>
        </w:rPr>
        <w:t>s.</w:t>
      </w:r>
    </w:p>
    <w:p w:rsidR="005E220C" w:rsidRDefault="005E220C" w:rsidP="00F67020">
      <w:pPr>
        <w:rPr>
          <w:rFonts w:eastAsia="Times New Roman"/>
        </w:rPr>
      </w:pPr>
    </w:p>
    <w:p w:rsidR="005E220C" w:rsidRDefault="005E220C" w:rsidP="00F67020">
      <w:pPr>
        <w:pStyle w:val="Heading1"/>
        <w:rPr>
          <w:rFonts w:eastAsia="Times New Roman"/>
        </w:rPr>
      </w:pPr>
    </w:p>
    <w:p w:rsidR="005E220C" w:rsidRDefault="000E5512" w:rsidP="00F67020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5E220C">
        <w:rPr>
          <w:rFonts w:eastAsia="Times New Roman"/>
        </w:rPr>
        <w:instrText xml:space="preserve"> TITLE </w:instrText>
      </w:r>
      <w:r>
        <w:rPr>
          <w:rFonts w:eastAsia="Times New Roman"/>
        </w:rPr>
        <w:fldChar w:fldCharType="end"/>
      </w:r>
      <w:r w:rsidR="005E220C">
        <w:rPr>
          <w:rFonts w:eastAsia="Times New Roman"/>
        </w:rPr>
        <w:t>POLICY IMPLICATIONS</w:t>
      </w:r>
    </w:p>
    <w:p w:rsidR="005E220C" w:rsidRDefault="00A77533" w:rsidP="00F67020">
      <w:pPr>
        <w:rPr>
          <w:rFonts w:eastAsia="Times New Roman" w:cs="Arial"/>
        </w:rPr>
      </w:pPr>
      <w:r>
        <w:rPr>
          <w:rFonts w:eastAsia="Times New Roman" w:cs="Arial"/>
        </w:rPr>
        <w:t xml:space="preserve">In order to protect </w:t>
      </w:r>
      <w:r w:rsidR="00833ADB">
        <w:rPr>
          <w:rFonts w:eastAsia="Times New Roman" w:cs="Arial"/>
        </w:rPr>
        <w:t>college assets the</w:t>
      </w:r>
      <w:r>
        <w:rPr>
          <w:rFonts w:eastAsia="Times New Roman" w:cs="Arial"/>
        </w:rPr>
        <w:t>re</w:t>
      </w:r>
      <w:r w:rsidR="00833ADB">
        <w:rPr>
          <w:rFonts w:eastAsia="Times New Roman" w:cs="Arial"/>
        </w:rPr>
        <w:t xml:space="preserve"> needs </w:t>
      </w:r>
      <w:r>
        <w:rPr>
          <w:rFonts w:eastAsia="Times New Roman" w:cs="Arial"/>
        </w:rPr>
        <w:t xml:space="preserve">to be </w:t>
      </w:r>
      <w:r w:rsidR="00833ADB">
        <w:rPr>
          <w:rFonts w:eastAsia="Times New Roman" w:cs="Arial"/>
        </w:rPr>
        <w:t xml:space="preserve">a robust and fair fees policy. </w:t>
      </w:r>
    </w:p>
    <w:p w:rsidR="005E220C" w:rsidRDefault="005E220C" w:rsidP="00F67020">
      <w:pPr>
        <w:rPr>
          <w:rFonts w:eastAsia="Times New Roman" w:cs="Arial"/>
        </w:rPr>
      </w:pPr>
    </w:p>
    <w:p w:rsidR="005E220C" w:rsidRDefault="005E220C" w:rsidP="00F67020">
      <w:pPr>
        <w:pStyle w:val="Heading1"/>
        <w:rPr>
          <w:rFonts w:eastAsia="Times New Roman"/>
        </w:rPr>
      </w:pPr>
    </w:p>
    <w:p w:rsidR="005E220C" w:rsidRDefault="000E5512" w:rsidP="00F67020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5E220C">
        <w:rPr>
          <w:rFonts w:eastAsia="Times New Roman"/>
        </w:rPr>
        <w:instrText xml:space="preserve"> TITLE </w:instrText>
      </w:r>
      <w:r>
        <w:rPr>
          <w:rFonts w:eastAsia="Times New Roman"/>
        </w:rPr>
        <w:fldChar w:fldCharType="end"/>
      </w:r>
      <w:r w:rsidR="005E220C">
        <w:rPr>
          <w:rFonts w:eastAsia="Times New Roman"/>
        </w:rPr>
        <w:t>IMPACT ON students</w:t>
      </w:r>
    </w:p>
    <w:p w:rsidR="005E220C" w:rsidRDefault="008D011F" w:rsidP="00F67020">
      <w:pPr>
        <w:rPr>
          <w:rFonts w:eastAsia="Times New Roman" w:cs="Arial"/>
        </w:rPr>
      </w:pPr>
      <w:r>
        <w:rPr>
          <w:rFonts w:eastAsia="Times New Roman" w:cs="Arial"/>
        </w:rPr>
        <w:t>The c</w:t>
      </w:r>
      <w:r w:rsidR="005E220C">
        <w:rPr>
          <w:rFonts w:eastAsia="Times New Roman" w:cs="Arial"/>
        </w:rPr>
        <w:t>ollege has retained a low annual fee for Higher Education. This is</w:t>
      </w:r>
      <w:r w:rsidR="005B2534">
        <w:rPr>
          <w:rFonts w:eastAsia="Times New Roman" w:cs="Arial"/>
        </w:rPr>
        <w:t xml:space="preserve"> to provide value for money to students</w:t>
      </w:r>
      <w:r w:rsidR="005E220C">
        <w:rPr>
          <w:rFonts w:eastAsia="Times New Roman" w:cs="Arial"/>
        </w:rPr>
        <w:t xml:space="preserve">. </w:t>
      </w:r>
    </w:p>
    <w:p w:rsidR="005E220C" w:rsidRDefault="005E220C" w:rsidP="00F67020">
      <w:pPr>
        <w:rPr>
          <w:rFonts w:eastAsia="Times New Roman" w:cs="Arial"/>
        </w:rPr>
      </w:pPr>
    </w:p>
    <w:p w:rsidR="005E220C" w:rsidRDefault="005E220C" w:rsidP="00F67020">
      <w:pPr>
        <w:pStyle w:val="Heading1"/>
        <w:rPr>
          <w:rFonts w:eastAsia="Times New Roman"/>
        </w:rPr>
      </w:pPr>
    </w:p>
    <w:p w:rsidR="008D011F" w:rsidRPr="009D1F31" w:rsidRDefault="008D011F" w:rsidP="00F67020">
      <w:pPr>
        <w:pStyle w:val="Heading1"/>
        <w:rPr>
          <w:rFonts w:eastAsia="Times New Roman"/>
        </w:rPr>
      </w:pPr>
      <w:r>
        <w:rPr>
          <w:rFonts w:eastAsia="Times New Roman"/>
        </w:rPr>
        <w:t>EQUALITY AND DIVERSITY</w:t>
      </w:r>
    </w:p>
    <w:p w:rsidR="008D011F" w:rsidRPr="008D011F" w:rsidRDefault="008D011F" w:rsidP="00F67020">
      <w:pPr>
        <w:rPr>
          <w:rFonts w:cs="Arial"/>
        </w:rPr>
      </w:pPr>
      <w:r w:rsidRPr="008D011F">
        <w:rPr>
          <w:rFonts w:cs="Arial"/>
        </w:rPr>
        <w:t>An EqIA is not required for this policy.</w:t>
      </w:r>
    </w:p>
    <w:p w:rsidR="008D011F" w:rsidRDefault="008D011F" w:rsidP="00F67020"/>
    <w:p w:rsidR="008D011F" w:rsidRPr="008D011F" w:rsidRDefault="008D011F" w:rsidP="00F67020"/>
    <w:p w:rsidR="005E220C" w:rsidRDefault="000E5512" w:rsidP="00F67020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5E220C">
        <w:rPr>
          <w:rFonts w:eastAsia="Times New Roman"/>
        </w:rPr>
        <w:instrText xml:space="preserve"> TITLE </w:instrText>
      </w:r>
      <w:r>
        <w:rPr>
          <w:rFonts w:eastAsia="Times New Roman"/>
        </w:rPr>
        <w:fldChar w:fldCharType="end"/>
      </w:r>
      <w:r w:rsidR="005E220C">
        <w:rPr>
          <w:rFonts w:eastAsia="Times New Roman"/>
        </w:rPr>
        <w:t>KEY RISKS</w:t>
      </w:r>
    </w:p>
    <w:p w:rsidR="005E220C" w:rsidRDefault="005E220C" w:rsidP="00F67020">
      <w:pPr>
        <w:rPr>
          <w:rFonts w:eastAsia="Times New Roman" w:cs="Arial"/>
        </w:rPr>
      </w:pPr>
      <w:r>
        <w:rPr>
          <w:rFonts w:eastAsia="Times New Roman" w:cs="Arial"/>
        </w:rPr>
        <w:t xml:space="preserve">Growth in HE is a key </w:t>
      </w:r>
      <w:r w:rsidR="005120C2">
        <w:rPr>
          <w:rFonts w:eastAsia="Times New Roman" w:cs="Arial"/>
        </w:rPr>
        <w:t>c</w:t>
      </w:r>
      <w:r>
        <w:rPr>
          <w:rFonts w:eastAsia="Times New Roman" w:cs="Arial"/>
        </w:rPr>
        <w:t xml:space="preserve">ollege priority. The fees policy </w:t>
      </w:r>
      <w:r w:rsidR="00833ADB">
        <w:rPr>
          <w:rFonts w:eastAsia="Times New Roman" w:cs="Arial"/>
        </w:rPr>
        <w:t>provide a sound financial basis for planned growth</w:t>
      </w:r>
      <w:r>
        <w:rPr>
          <w:rFonts w:eastAsia="Times New Roman" w:cs="Arial"/>
        </w:rPr>
        <w:t xml:space="preserve">. </w:t>
      </w:r>
    </w:p>
    <w:p w:rsidR="005E220C" w:rsidRDefault="005E220C" w:rsidP="00F67020">
      <w:pPr>
        <w:rPr>
          <w:rFonts w:eastAsia="Times New Roman" w:cs="Arial"/>
        </w:rPr>
      </w:pPr>
    </w:p>
    <w:p w:rsidR="00BF5EEC" w:rsidRDefault="00BF5EEC" w:rsidP="00F67020">
      <w:pPr>
        <w:rPr>
          <w:rFonts w:eastAsia="Times New Roman" w:cs="Arial"/>
        </w:rPr>
      </w:pPr>
    </w:p>
    <w:sectPr w:rsidR="00BF5EEC" w:rsidSect="00574904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C5" w:rsidRDefault="007A35C5" w:rsidP="00E275F0">
      <w:r>
        <w:separator/>
      </w:r>
    </w:p>
  </w:endnote>
  <w:endnote w:type="continuationSeparator" w:id="0">
    <w:p w:rsidR="007A35C5" w:rsidRDefault="007A35C5" w:rsidP="00E2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9" w:rsidRDefault="002E4AD6" w:rsidP="00C44149">
    <w:pPr>
      <w:pStyle w:val="Footer"/>
      <w:rPr>
        <w:sz w:val="16"/>
        <w:szCs w:val="16"/>
      </w:rPr>
    </w:pPr>
    <w:r>
      <w:rPr>
        <w:sz w:val="16"/>
        <w:szCs w:val="16"/>
      </w:rPr>
      <w:t>Approved at SLT Meeting 22 October 2018 and Extraordinary Board of Governors Meeting 26 November 2018</w:t>
    </w:r>
  </w:p>
  <w:p w:rsidR="00C44149" w:rsidRPr="00C44149" w:rsidRDefault="00C44149" w:rsidP="00C4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C5" w:rsidRDefault="007A35C5" w:rsidP="00E275F0">
      <w:r>
        <w:separator/>
      </w:r>
    </w:p>
  </w:footnote>
  <w:footnote w:type="continuationSeparator" w:id="0">
    <w:p w:rsidR="007A35C5" w:rsidRDefault="007A35C5" w:rsidP="00E2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0" w:rsidRDefault="00E275F0" w:rsidP="00E275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0" w:rsidRPr="00C44149" w:rsidRDefault="00574904" w:rsidP="00574904">
    <w:pPr>
      <w:pStyle w:val="Header"/>
      <w:jc w:val="center"/>
      <w:rPr>
        <w:sz w:val="16"/>
        <w:szCs w:val="16"/>
      </w:rPr>
    </w:pPr>
    <w:r w:rsidRPr="00C44149">
      <w:rPr>
        <w:rFonts w:ascii="Calibri" w:eastAsia="Times New Roman" w:hAnsi="Calibri" w:cs="Times New Roman"/>
        <w:noProof/>
        <w:sz w:val="16"/>
        <w:szCs w:val="16"/>
        <w:lang w:eastAsia="en-GB"/>
      </w:rPr>
      <w:drawing>
        <wp:inline distT="0" distB="0" distL="0" distR="0">
          <wp:extent cx="1847850" cy="65087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50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E5E"/>
    <w:multiLevelType w:val="hybridMultilevel"/>
    <w:tmpl w:val="021C5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DFA"/>
    <w:multiLevelType w:val="hybridMultilevel"/>
    <w:tmpl w:val="AEF0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BCB"/>
    <w:multiLevelType w:val="hybridMultilevel"/>
    <w:tmpl w:val="88AE0F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B49"/>
    <w:multiLevelType w:val="hybridMultilevel"/>
    <w:tmpl w:val="AFBC3186"/>
    <w:lvl w:ilvl="0" w:tplc="37286ADC">
      <w:start w:val="1"/>
      <w:numFmt w:val="lowerLetter"/>
      <w:pStyle w:val="Letteredlist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ABE"/>
    <w:multiLevelType w:val="hybridMultilevel"/>
    <w:tmpl w:val="2B50281E"/>
    <w:lvl w:ilvl="0" w:tplc="FFFFFFFF">
      <w:start w:val="1"/>
      <w:numFmt w:val="decimal"/>
      <w:pStyle w:val="BodyText2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763EE"/>
    <w:multiLevelType w:val="hybridMultilevel"/>
    <w:tmpl w:val="24BA35FC"/>
    <w:lvl w:ilvl="0" w:tplc="A882F9B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6B6FE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0F20"/>
    <w:multiLevelType w:val="hybridMultilevel"/>
    <w:tmpl w:val="1408E136"/>
    <w:lvl w:ilvl="0" w:tplc="511E693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4EC0"/>
    <w:multiLevelType w:val="hybridMultilevel"/>
    <w:tmpl w:val="B3402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14C9"/>
    <w:multiLevelType w:val="hybridMultilevel"/>
    <w:tmpl w:val="3120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styleLockTheme/>
  <w:styleLockQFSet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61"/>
    <w:rsid w:val="000054DF"/>
    <w:rsid w:val="00011B72"/>
    <w:rsid w:val="0001277C"/>
    <w:rsid w:val="000264FB"/>
    <w:rsid w:val="0003198F"/>
    <w:rsid w:val="000439C6"/>
    <w:rsid w:val="00085433"/>
    <w:rsid w:val="00087FB1"/>
    <w:rsid w:val="000968C0"/>
    <w:rsid w:val="000B278E"/>
    <w:rsid w:val="000B6C26"/>
    <w:rsid w:val="000D38B4"/>
    <w:rsid w:val="000D65D6"/>
    <w:rsid w:val="000E4429"/>
    <w:rsid w:val="000E5512"/>
    <w:rsid w:val="000F5B9E"/>
    <w:rsid w:val="00102DEB"/>
    <w:rsid w:val="00176677"/>
    <w:rsid w:val="001949E0"/>
    <w:rsid w:val="001A23DC"/>
    <w:rsid w:val="001B56ED"/>
    <w:rsid w:val="001C566D"/>
    <w:rsid w:val="001E0800"/>
    <w:rsid w:val="001F5D10"/>
    <w:rsid w:val="00205257"/>
    <w:rsid w:val="002100A6"/>
    <w:rsid w:val="00232A64"/>
    <w:rsid w:val="00233DA4"/>
    <w:rsid w:val="002403BD"/>
    <w:rsid w:val="00241176"/>
    <w:rsid w:val="00252E6F"/>
    <w:rsid w:val="00252F45"/>
    <w:rsid w:val="00255AC9"/>
    <w:rsid w:val="00255BFC"/>
    <w:rsid w:val="0029037C"/>
    <w:rsid w:val="00297CBE"/>
    <w:rsid w:val="002C000F"/>
    <w:rsid w:val="002E4AD6"/>
    <w:rsid w:val="002E5A07"/>
    <w:rsid w:val="0030196A"/>
    <w:rsid w:val="00303A2C"/>
    <w:rsid w:val="003207C5"/>
    <w:rsid w:val="00322EB1"/>
    <w:rsid w:val="00333FBB"/>
    <w:rsid w:val="003433D7"/>
    <w:rsid w:val="00354550"/>
    <w:rsid w:val="00357E27"/>
    <w:rsid w:val="00375E65"/>
    <w:rsid w:val="00381ACA"/>
    <w:rsid w:val="00384581"/>
    <w:rsid w:val="003D4AE2"/>
    <w:rsid w:val="003F1D03"/>
    <w:rsid w:val="004156EA"/>
    <w:rsid w:val="0042274E"/>
    <w:rsid w:val="00434024"/>
    <w:rsid w:val="004360B2"/>
    <w:rsid w:val="004538DA"/>
    <w:rsid w:val="00461602"/>
    <w:rsid w:val="00470560"/>
    <w:rsid w:val="00484F65"/>
    <w:rsid w:val="00497661"/>
    <w:rsid w:val="004B6DA3"/>
    <w:rsid w:val="004C6118"/>
    <w:rsid w:val="004D74E0"/>
    <w:rsid w:val="005120C2"/>
    <w:rsid w:val="00523ACB"/>
    <w:rsid w:val="00574904"/>
    <w:rsid w:val="00591208"/>
    <w:rsid w:val="00593995"/>
    <w:rsid w:val="005B2534"/>
    <w:rsid w:val="005D2A60"/>
    <w:rsid w:val="005D5EE5"/>
    <w:rsid w:val="005D7FA8"/>
    <w:rsid w:val="005E220C"/>
    <w:rsid w:val="005E6545"/>
    <w:rsid w:val="006308FA"/>
    <w:rsid w:val="00653E66"/>
    <w:rsid w:val="0067401C"/>
    <w:rsid w:val="00681D69"/>
    <w:rsid w:val="00690847"/>
    <w:rsid w:val="00694488"/>
    <w:rsid w:val="006A5898"/>
    <w:rsid w:val="006C682F"/>
    <w:rsid w:val="006F355A"/>
    <w:rsid w:val="006F61B6"/>
    <w:rsid w:val="00732C38"/>
    <w:rsid w:val="0074579A"/>
    <w:rsid w:val="00752FF7"/>
    <w:rsid w:val="00761C31"/>
    <w:rsid w:val="00780EE6"/>
    <w:rsid w:val="00783D21"/>
    <w:rsid w:val="00786894"/>
    <w:rsid w:val="007A0287"/>
    <w:rsid w:val="007A35C5"/>
    <w:rsid w:val="00813C4A"/>
    <w:rsid w:val="008271DB"/>
    <w:rsid w:val="00833ADB"/>
    <w:rsid w:val="0083775B"/>
    <w:rsid w:val="008412DB"/>
    <w:rsid w:val="00881C39"/>
    <w:rsid w:val="008948D0"/>
    <w:rsid w:val="008C3B5E"/>
    <w:rsid w:val="008D011F"/>
    <w:rsid w:val="008D1225"/>
    <w:rsid w:val="008E5837"/>
    <w:rsid w:val="009218BC"/>
    <w:rsid w:val="00935024"/>
    <w:rsid w:val="00941E66"/>
    <w:rsid w:val="009839B6"/>
    <w:rsid w:val="009A2C0D"/>
    <w:rsid w:val="009B494F"/>
    <w:rsid w:val="009D1F31"/>
    <w:rsid w:val="009E10F2"/>
    <w:rsid w:val="009F0866"/>
    <w:rsid w:val="00A00037"/>
    <w:rsid w:val="00A10D86"/>
    <w:rsid w:val="00A1384E"/>
    <w:rsid w:val="00A1643E"/>
    <w:rsid w:val="00A554DF"/>
    <w:rsid w:val="00A63E0B"/>
    <w:rsid w:val="00A77533"/>
    <w:rsid w:val="00A92873"/>
    <w:rsid w:val="00AD3DC1"/>
    <w:rsid w:val="00B24DF8"/>
    <w:rsid w:val="00B356D4"/>
    <w:rsid w:val="00B43A32"/>
    <w:rsid w:val="00B47E51"/>
    <w:rsid w:val="00B802CD"/>
    <w:rsid w:val="00BA7E5D"/>
    <w:rsid w:val="00BB43A9"/>
    <w:rsid w:val="00BC2C9F"/>
    <w:rsid w:val="00BC2DB4"/>
    <w:rsid w:val="00BE6753"/>
    <w:rsid w:val="00BF5EEC"/>
    <w:rsid w:val="00C3374B"/>
    <w:rsid w:val="00C34CA8"/>
    <w:rsid w:val="00C44149"/>
    <w:rsid w:val="00C51ED4"/>
    <w:rsid w:val="00C721BF"/>
    <w:rsid w:val="00C76071"/>
    <w:rsid w:val="00CE4DE4"/>
    <w:rsid w:val="00CE78C6"/>
    <w:rsid w:val="00D01EF5"/>
    <w:rsid w:val="00D07201"/>
    <w:rsid w:val="00D25B24"/>
    <w:rsid w:val="00D3310C"/>
    <w:rsid w:val="00D43F39"/>
    <w:rsid w:val="00D53E93"/>
    <w:rsid w:val="00D744C2"/>
    <w:rsid w:val="00D8422D"/>
    <w:rsid w:val="00D8580F"/>
    <w:rsid w:val="00DE1960"/>
    <w:rsid w:val="00DE6CEC"/>
    <w:rsid w:val="00E124C6"/>
    <w:rsid w:val="00E154BB"/>
    <w:rsid w:val="00E27454"/>
    <w:rsid w:val="00E275F0"/>
    <w:rsid w:val="00E32388"/>
    <w:rsid w:val="00E455C7"/>
    <w:rsid w:val="00E672A2"/>
    <w:rsid w:val="00E71F92"/>
    <w:rsid w:val="00E7753A"/>
    <w:rsid w:val="00E978DA"/>
    <w:rsid w:val="00EA29F5"/>
    <w:rsid w:val="00EF29C6"/>
    <w:rsid w:val="00EF6E20"/>
    <w:rsid w:val="00EF7C4D"/>
    <w:rsid w:val="00F17C1E"/>
    <w:rsid w:val="00F37BBA"/>
    <w:rsid w:val="00F67020"/>
    <w:rsid w:val="00F7563C"/>
    <w:rsid w:val="00F81481"/>
    <w:rsid w:val="00FB71B0"/>
    <w:rsid w:val="00FF685F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77C2AB52-765D-46B3-873A-6C106E1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S Me" w:eastAsiaTheme="minorEastAsia" w:hAnsi="FS Me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locked="1" w:semiHidden="1" w:uiPriority="9" w:unhideWhenUsed="1"/>
    <w:lsdException w:name="heading 4" w:locked="1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E27454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EF6E20"/>
    <w:pPr>
      <w:keepNext/>
      <w:keepLines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55C7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D25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1"/>
    <w:semiHidden/>
    <w:locked/>
    <w:rsid w:val="00D8580F"/>
    <w:pPr>
      <w:spacing w:before="240" w:after="240"/>
    </w:pPr>
    <w:rPr>
      <w:rFonts w:eastAsia="Times New Roman" w:cs="Tahoma"/>
      <w:b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8948D0"/>
    <w:rPr>
      <w:rFonts w:eastAsia="Times New Roman" w:cs="Tahoma"/>
      <w:b/>
      <w:sz w:val="28"/>
      <w:szCs w:val="28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2C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48D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EF6E20"/>
    <w:rPr>
      <w:rFonts w:eastAsiaTheme="majorEastAsia" w:cstheme="majorBidi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1"/>
    <w:rsid w:val="00E455C7"/>
    <w:rPr>
      <w:rFonts w:eastAsia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8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D25B24"/>
    <w:pPr>
      <w:ind w:left="720"/>
      <w:contextualSpacing/>
    </w:pPr>
  </w:style>
  <w:style w:type="paragraph" w:customStyle="1" w:styleId="BulletList1">
    <w:name w:val="Bullet List 1"/>
    <w:basedOn w:val="ListParagraph"/>
    <w:link w:val="BulletList1Char"/>
    <w:uiPriority w:val="2"/>
    <w:qFormat/>
    <w:rsid w:val="00303A2C"/>
    <w:pPr>
      <w:numPr>
        <w:numId w:val="1"/>
      </w:numPr>
      <w:spacing w:before="120" w:after="100" w:afterAutospacing="1"/>
      <w:ind w:left="709" w:hanging="284"/>
      <w:contextualSpacing w:val="0"/>
    </w:pPr>
    <w:rPr>
      <w:rFonts w:eastAsia="Times New Roman"/>
    </w:rPr>
  </w:style>
  <w:style w:type="paragraph" w:customStyle="1" w:styleId="BulletList2">
    <w:name w:val="Bullet List 2"/>
    <w:basedOn w:val="BulletList1"/>
    <w:link w:val="BulletList2Char"/>
    <w:uiPriority w:val="2"/>
    <w:qFormat/>
    <w:rsid w:val="00FF75F1"/>
    <w:pPr>
      <w:numPr>
        <w:ilvl w:val="1"/>
      </w:numPr>
      <w:ind w:left="1276" w:hanging="284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948D0"/>
  </w:style>
  <w:style w:type="character" w:customStyle="1" w:styleId="BulletList1Char">
    <w:name w:val="Bullet List 1 Char"/>
    <w:basedOn w:val="ListParagraphChar"/>
    <w:link w:val="BulletList1"/>
    <w:uiPriority w:val="2"/>
    <w:rsid w:val="00303A2C"/>
    <w:rPr>
      <w:rFonts w:eastAsia="Times New Roman"/>
    </w:rPr>
  </w:style>
  <w:style w:type="paragraph" w:styleId="Quote">
    <w:name w:val="Quote"/>
    <w:aliases w:val="Quote 1"/>
    <w:basedOn w:val="Normal"/>
    <w:next w:val="Normal"/>
    <w:link w:val="QuoteChar"/>
    <w:uiPriority w:val="3"/>
    <w:qFormat/>
    <w:rsid w:val="00EF29C6"/>
    <w:pPr>
      <w:ind w:left="992" w:right="1809"/>
      <w:contextualSpacing/>
    </w:pPr>
    <w:rPr>
      <w:rFonts w:eastAsia="Times New Roman"/>
      <w:i/>
      <w:iCs/>
      <w:color w:val="000000" w:themeColor="text1"/>
    </w:rPr>
  </w:style>
  <w:style w:type="character" w:customStyle="1" w:styleId="BulletList2Char">
    <w:name w:val="Bullet List 2 Char"/>
    <w:basedOn w:val="BulletList1Char"/>
    <w:link w:val="BulletList2"/>
    <w:uiPriority w:val="2"/>
    <w:rsid w:val="00761C31"/>
    <w:rPr>
      <w:rFonts w:eastAsia="Times New Roman"/>
      <w:lang w:val="en-AU" w:eastAsia="en-US"/>
    </w:rPr>
  </w:style>
  <w:style w:type="character" w:customStyle="1" w:styleId="QuoteChar">
    <w:name w:val="Quote Char"/>
    <w:aliases w:val="Quote 1 Char"/>
    <w:basedOn w:val="DefaultParagraphFont"/>
    <w:link w:val="Quote"/>
    <w:uiPriority w:val="3"/>
    <w:rsid w:val="00EF29C6"/>
    <w:rPr>
      <w:rFonts w:eastAsia="Times New Roman"/>
      <w:i/>
      <w:iCs/>
      <w:color w:val="000000" w:themeColor="text1"/>
    </w:rPr>
  </w:style>
  <w:style w:type="paragraph" w:customStyle="1" w:styleId="NumberedList1">
    <w:name w:val="Numbered List 1"/>
    <w:basedOn w:val="ListParagraph"/>
    <w:link w:val="NumberedList1Char"/>
    <w:uiPriority w:val="2"/>
    <w:qFormat/>
    <w:rsid w:val="00761C31"/>
    <w:pPr>
      <w:numPr>
        <w:numId w:val="2"/>
      </w:numPr>
      <w:ind w:left="426" w:hanging="426"/>
      <w:contextualSpacing w:val="0"/>
    </w:pPr>
    <w:rPr>
      <w:rFonts w:eastAsia="Times New Roman"/>
    </w:rPr>
  </w:style>
  <w:style w:type="paragraph" w:customStyle="1" w:styleId="Title1">
    <w:name w:val="Title1"/>
    <w:basedOn w:val="Title"/>
    <w:link w:val="Title1Char"/>
    <w:qFormat/>
    <w:rsid w:val="00EF6E20"/>
    <w:pPr>
      <w:spacing w:before="0" w:after="0"/>
    </w:pPr>
    <w:rPr>
      <w:lang w:val="en-GB"/>
    </w:rPr>
  </w:style>
  <w:style w:type="character" w:customStyle="1" w:styleId="NumberedList1Char">
    <w:name w:val="Numbered List 1 Char"/>
    <w:basedOn w:val="ListParagraphChar"/>
    <w:link w:val="NumberedList1"/>
    <w:uiPriority w:val="2"/>
    <w:rsid w:val="00761C31"/>
    <w:rPr>
      <w:rFonts w:eastAsia="Times New Roman"/>
      <w:lang w:eastAsia="en-US"/>
    </w:rPr>
  </w:style>
  <w:style w:type="character" w:customStyle="1" w:styleId="Title1Char">
    <w:name w:val="Title1 Char"/>
    <w:basedOn w:val="TitleChar"/>
    <w:link w:val="Title1"/>
    <w:rsid w:val="00EF6E20"/>
    <w:rPr>
      <w:rFonts w:eastAsia="Times New Roman" w:cs="Tahoma"/>
      <w:b/>
      <w:sz w:val="28"/>
      <w:szCs w:val="28"/>
      <w:lang w:val="en-AU"/>
    </w:rPr>
  </w:style>
  <w:style w:type="paragraph" w:styleId="BodyText2">
    <w:name w:val="Body Text 2"/>
    <w:basedOn w:val="Normal"/>
    <w:link w:val="BodyText2Char"/>
    <w:autoRedefine/>
    <w:uiPriority w:val="11"/>
    <w:semiHidden/>
    <w:locked/>
    <w:rsid w:val="00375E65"/>
    <w:pPr>
      <w:numPr>
        <w:numId w:val="3"/>
      </w:numPr>
      <w:tabs>
        <w:tab w:val="clear" w:pos="502"/>
      </w:tabs>
      <w:spacing w:before="120" w:after="120"/>
      <w:ind w:left="709" w:hanging="425"/>
    </w:pPr>
    <w:rPr>
      <w:rFonts w:eastAsia="Times New Roman" w:cs="Tahoma"/>
      <w:bCs/>
      <w:lang w:val="en-AU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8948D0"/>
    <w:rPr>
      <w:rFonts w:eastAsia="Times New Roman" w:cs="Tahoma"/>
      <w:bCs/>
      <w:lang w:val="en-AU"/>
    </w:rPr>
  </w:style>
  <w:style w:type="paragraph" w:styleId="NoSpacing">
    <w:name w:val="No Spacing"/>
    <w:uiPriority w:val="11"/>
    <w:semiHidden/>
    <w:locked/>
    <w:rsid w:val="008948D0"/>
    <w:pPr>
      <w:spacing w:after="0"/>
    </w:pPr>
  </w:style>
  <w:style w:type="paragraph" w:customStyle="1" w:styleId="Letteredlist1">
    <w:name w:val="Lettered list 1"/>
    <w:basedOn w:val="ListParagraph"/>
    <w:link w:val="Letteredlist1Char"/>
    <w:uiPriority w:val="2"/>
    <w:qFormat/>
    <w:rsid w:val="00EF29C6"/>
    <w:pPr>
      <w:numPr>
        <w:numId w:val="4"/>
      </w:numPr>
      <w:spacing w:before="120" w:after="100" w:afterAutospacing="1"/>
      <w:ind w:left="709" w:hanging="284"/>
      <w:contextualSpacing w:val="0"/>
    </w:pPr>
  </w:style>
  <w:style w:type="character" w:customStyle="1" w:styleId="Letteredlist1Char">
    <w:name w:val="Lettered list 1 Char"/>
    <w:basedOn w:val="ListParagraphChar"/>
    <w:link w:val="Letteredlist1"/>
    <w:uiPriority w:val="2"/>
    <w:rsid w:val="00EF29C6"/>
  </w:style>
  <w:style w:type="character" w:styleId="SubtleEmphasis">
    <w:name w:val="Subtle Emphasis"/>
    <w:basedOn w:val="DefaultParagraphFont"/>
    <w:uiPriority w:val="19"/>
    <w:semiHidden/>
    <w:locked/>
    <w:rsid w:val="008948D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locked/>
    <w:rsid w:val="008948D0"/>
    <w:rPr>
      <w:i/>
      <w:iCs/>
    </w:rPr>
  </w:style>
  <w:style w:type="character" w:styleId="IntenseEmphasis">
    <w:name w:val="Intense Emphasis"/>
    <w:basedOn w:val="DefaultParagraphFont"/>
    <w:uiPriority w:val="21"/>
    <w:semiHidden/>
    <w:locked/>
    <w:rsid w:val="008948D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locked/>
    <w:rsid w:val="008948D0"/>
    <w:rPr>
      <w:b/>
      <w:bCs/>
    </w:rPr>
  </w:style>
  <w:style w:type="character" w:styleId="IntenseReference">
    <w:name w:val="Intense Reference"/>
    <w:basedOn w:val="DefaultParagraphFont"/>
    <w:uiPriority w:val="32"/>
    <w:semiHidden/>
    <w:locked/>
    <w:rsid w:val="008948D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  <w:style w:type="paragraph" w:styleId="BalloonText">
    <w:name w:val="Balloon Text"/>
    <w:basedOn w:val="Normal"/>
    <w:link w:val="BalloonTextChar"/>
    <w:uiPriority w:val="99"/>
    <w:semiHidden/>
    <w:unhideWhenUsed/>
    <w:rsid w:val="00436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levitt\AppData\Local\Microsoft\Windows\INetCache\Content.MSO\AD8ADE5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52DC-8F7F-4161-88B3-DB54F579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AD8ADE5C</Template>
  <TotalTime>0</TotalTime>
  <Pages>7</Pages>
  <Words>854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Bartnik</dc:creator>
  <cp:lastModifiedBy>Bethany Oliver</cp:lastModifiedBy>
  <cp:revision>2</cp:revision>
  <cp:lastPrinted>2017-01-26T10:49:00Z</cp:lastPrinted>
  <dcterms:created xsi:type="dcterms:W3CDTF">2019-04-29T11:43:00Z</dcterms:created>
  <dcterms:modified xsi:type="dcterms:W3CDTF">2019-04-29T11:43:00Z</dcterms:modified>
</cp:coreProperties>
</file>