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E75C" w14:textId="77777777" w:rsidR="008C3B5E" w:rsidRDefault="008C3B5E" w:rsidP="006B5F03">
      <w:pPr>
        <w:spacing w:after="120"/>
      </w:pPr>
    </w:p>
    <w:p w14:paraId="5CA8948E" w14:textId="77777777" w:rsidR="008C3B5E" w:rsidRPr="00661AAD" w:rsidRDefault="008C3B5E" w:rsidP="006B5F03">
      <w:pPr>
        <w:pStyle w:val="Heading1"/>
        <w:ind w:left="2880" w:hanging="2880"/>
      </w:pPr>
      <w:r w:rsidRPr="00661AAD">
        <w:t>POLICY</w:t>
      </w:r>
      <w:r>
        <w:t>/PROCEDURE</w:t>
      </w:r>
      <w:r w:rsidRPr="00661AAD">
        <w:t>:</w:t>
      </w:r>
      <w:r w:rsidR="00744A98">
        <w:tab/>
      </w:r>
      <w:r w:rsidR="00744A98">
        <w:rPr>
          <w:rFonts w:cs="Arial"/>
        </w:rPr>
        <w:t xml:space="preserve">HIGHER EDUCATION </w:t>
      </w:r>
      <w:r w:rsidR="008D3E87">
        <w:rPr>
          <w:rFonts w:cs="Arial"/>
        </w:rPr>
        <w:t xml:space="preserve">refund and compensation (non-continuation) </w:t>
      </w:r>
      <w:r w:rsidR="00E914DD">
        <w:rPr>
          <w:rFonts w:cs="Arial"/>
        </w:rPr>
        <w:t>P</w:t>
      </w:r>
      <w:r w:rsidR="00A153CD">
        <w:rPr>
          <w:rFonts w:cs="Arial"/>
        </w:rPr>
        <w:t>OLICY</w:t>
      </w:r>
    </w:p>
    <w:p w14:paraId="4A57E726" w14:textId="77777777" w:rsidR="008C3B5E" w:rsidRPr="001D48DF" w:rsidRDefault="008C3B5E" w:rsidP="001D48DF">
      <w:pPr>
        <w:pBdr>
          <w:bottom w:val="single" w:sz="4" w:space="1" w:color="auto"/>
        </w:pBdr>
        <w:jc w:val="right"/>
        <w:rPr>
          <w:b/>
          <w:sz w:val="18"/>
          <w:szCs w:val="18"/>
        </w:rPr>
      </w:pPr>
    </w:p>
    <w:p w14:paraId="294B754C" w14:textId="77777777" w:rsidR="008C3B5E" w:rsidRPr="007A4456" w:rsidRDefault="008C3B5E" w:rsidP="006B5F03">
      <w:pPr>
        <w:spacing w:before="120" w:after="120"/>
      </w:pPr>
      <w:r>
        <w:t>Approval required by:</w:t>
      </w:r>
      <w:r>
        <w:tab/>
      </w:r>
      <w:r>
        <w:tab/>
      </w:r>
      <w:r w:rsidR="00884A7F">
        <w:t>SL</w:t>
      </w:r>
      <w:r w:rsidRPr="007A4456">
        <w:t>T</w:t>
      </w:r>
      <w:r w:rsidRPr="007A4456">
        <w:tab/>
      </w:r>
      <w:r w:rsidR="003D32F1">
        <w:tab/>
      </w:r>
      <w:r w:rsidR="003D32F1">
        <w:tab/>
        <w:t>Y</w:t>
      </w:r>
      <w:r>
        <w:tab/>
      </w:r>
      <w:r w:rsidRPr="007A4456">
        <w:t>Governing Body</w:t>
      </w:r>
      <w:r w:rsidR="003D32F1">
        <w:tab/>
        <w:t>Y</w:t>
      </w:r>
    </w:p>
    <w:p w14:paraId="4EDFABF1" w14:textId="4D77AEED" w:rsidR="008C3B5E" w:rsidRPr="0012020F" w:rsidRDefault="008C3B5E" w:rsidP="006B5F03">
      <w:pPr>
        <w:spacing w:after="120"/>
      </w:pPr>
      <w:r w:rsidRPr="007A4456">
        <w:t>SMT Lead:</w:t>
      </w:r>
      <w:r w:rsidR="003D32F1">
        <w:tab/>
      </w:r>
      <w:r w:rsidR="003D32F1">
        <w:tab/>
      </w:r>
      <w:r w:rsidR="003D32F1">
        <w:tab/>
      </w:r>
      <w:r w:rsidR="00BA10CF" w:rsidRPr="0012020F">
        <w:t xml:space="preserve">Director of Quality </w:t>
      </w:r>
      <w:r w:rsidR="00A54EA0" w:rsidRPr="0012020F">
        <w:t>(</w:t>
      </w:r>
      <w:r w:rsidR="00BA10CF" w:rsidRPr="0012020F">
        <w:t>Higher Education</w:t>
      </w:r>
      <w:r w:rsidR="00A54EA0" w:rsidRPr="0012020F">
        <w:t xml:space="preserve"> &amp; </w:t>
      </w:r>
      <w:proofErr w:type="gramStart"/>
      <w:r w:rsidR="00A54EA0" w:rsidRPr="0012020F">
        <w:t>Higher Level</w:t>
      </w:r>
      <w:proofErr w:type="gramEnd"/>
      <w:r w:rsidR="00A54EA0" w:rsidRPr="0012020F">
        <w:t xml:space="preserve"> Skills)</w:t>
      </w:r>
    </w:p>
    <w:p w14:paraId="75D41364" w14:textId="39F46476" w:rsidR="008C3B5E" w:rsidRPr="0012020F" w:rsidRDefault="008C3B5E" w:rsidP="006B5F03">
      <w:pPr>
        <w:spacing w:after="120"/>
      </w:pPr>
      <w:r w:rsidRPr="0012020F">
        <w:t>Responsible Manager:</w:t>
      </w:r>
      <w:r w:rsidR="00CE7D1E" w:rsidRPr="0012020F">
        <w:tab/>
      </w:r>
      <w:r w:rsidR="00884A7F" w:rsidRPr="0012020F">
        <w:tab/>
      </w:r>
      <w:r w:rsidR="007804FE" w:rsidRPr="0012020F">
        <w:t xml:space="preserve">Director of Quality </w:t>
      </w:r>
      <w:r w:rsidR="00A54EA0" w:rsidRPr="0012020F">
        <w:t>(</w:t>
      </w:r>
      <w:r w:rsidR="007804FE" w:rsidRPr="0012020F">
        <w:t>Higher Education</w:t>
      </w:r>
      <w:r w:rsidR="00A54EA0" w:rsidRPr="0012020F">
        <w:t xml:space="preserve"> &amp; </w:t>
      </w:r>
      <w:proofErr w:type="gramStart"/>
      <w:r w:rsidR="00A54EA0" w:rsidRPr="0012020F">
        <w:t>Higher Level</w:t>
      </w:r>
      <w:proofErr w:type="gramEnd"/>
      <w:r w:rsidR="00A54EA0" w:rsidRPr="0012020F">
        <w:t xml:space="preserve"> Skills)</w:t>
      </w:r>
    </w:p>
    <w:p w14:paraId="0CCDC542" w14:textId="458E1172" w:rsidR="00050579" w:rsidRPr="0012020F" w:rsidRDefault="008C3B5E" w:rsidP="00050579">
      <w:pPr>
        <w:spacing w:after="120"/>
        <w:rPr>
          <w:color w:val="FF0000"/>
        </w:rPr>
      </w:pPr>
      <w:r w:rsidRPr="0012020F">
        <w:t>Date approved:</w:t>
      </w:r>
      <w:r w:rsidR="003D32F1" w:rsidRPr="0012020F">
        <w:rPr>
          <w:color w:val="FF0000"/>
        </w:rPr>
        <w:tab/>
      </w:r>
      <w:r w:rsidR="00050579" w:rsidRPr="0012020F">
        <w:rPr>
          <w:color w:val="FF0000"/>
        </w:rPr>
        <w:t xml:space="preserve"> </w:t>
      </w:r>
      <w:r w:rsidR="00050579" w:rsidRPr="0012020F">
        <w:rPr>
          <w:color w:val="FF0000"/>
        </w:rPr>
        <w:tab/>
      </w:r>
      <w:r w:rsidR="00A54EA0" w:rsidRPr="0012020F">
        <w:t>January</w:t>
      </w:r>
      <w:r w:rsidR="00050579" w:rsidRPr="0012020F">
        <w:t xml:space="preserve"> 202</w:t>
      </w:r>
      <w:r w:rsidR="00A54EA0" w:rsidRPr="0012020F">
        <w:t>3</w:t>
      </w:r>
    </w:p>
    <w:p w14:paraId="5B7D69E9" w14:textId="16BFD37E" w:rsidR="008C3B5E" w:rsidRPr="007A4456" w:rsidRDefault="00050579" w:rsidP="00050579">
      <w:pPr>
        <w:spacing w:after="120"/>
      </w:pPr>
      <w:r w:rsidRPr="0012020F">
        <w:t>Date to be reviewed:</w:t>
      </w:r>
      <w:r w:rsidRPr="0012020F">
        <w:tab/>
      </w:r>
      <w:r w:rsidRPr="0012020F">
        <w:tab/>
      </w:r>
      <w:r w:rsidR="00A54EA0" w:rsidRPr="0012020F">
        <w:t>August 2024</w:t>
      </w:r>
      <w:r w:rsidR="003D32F1">
        <w:tab/>
      </w:r>
    </w:p>
    <w:p w14:paraId="7555032E" w14:textId="77777777" w:rsidR="008C3B5E" w:rsidRPr="007A4456" w:rsidRDefault="008C3B5E" w:rsidP="006B5F03">
      <w:pPr>
        <w:pBdr>
          <w:bottom w:val="single" w:sz="4" w:space="1" w:color="auto"/>
        </w:pBdr>
        <w:spacing w:after="120"/>
      </w:pPr>
    </w:p>
    <w:p w14:paraId="5967FF5C" w14:textId="77777777" w:rsidR="008C3B5E" w:rsidRDefault="008C3B5E" w:rsidP="006B5F03">
      <w:pPr>
        <w:spacing w:after="120"/>
      </w:pPr>
      <w:r w:rsidRPr="007A4456">
        <w:t>Relevant to</w:t>
      </w:r>
      <w:r>
        <w:t>:</w:t>
      </w:r>
      <w:r w:rsidRPr="007A4456">
        <w:tab/>
      </w:r>
      <w:r w:rsidRPr="007A4456">
        <w:tab/>
      </w:r>
      <w:r w:rsidRPr="007A4456">
        <w:tab/>
        <w:t>Students</w:t>
      </w:r>
      <w:r w:rsidRPr="007A4456">
        <w:tab/>
      </w:r>
      <w:r w:rsidRPr="007A4456">
        <w:tab/>
      </w:r>
      <w:r w:rsidR="003D32F1">
        <w:t>Y</w:t>
      </w:r>
      <w:r>
        <w:tab/>
      </w:r>
      <w:r w:rsidRPr="007A4456">
        <w:t>Staff</w:t>
      </w:r>
      <w:r w:rsidR="003D32F1">
        <w:tab/>
      </w:r>
      <w:r w:rsidR="003D32F1">
        <w:tab/>
      </w:r>
      <w:r w:rsidR="003D32F1">
        <w:tab/>
        <w:t>Y</w:t>
      </w:r>
    </w:p>
    <w:p w14:paraId="05BC4BCF" w14:textId="77777777" w:rsidR="008C3B5E" w:rsidRPr="00661AAD" w:rsidRDefault="008C3B5E" w:rsidP="006B5F03">
      <w:pPr>
        <w:spacing w:after="120"/>
      </w:pPr>
      <w:r>
        <w:tab/>
      </w:r>
      <w:r>
        <w:tab/>
      </w:r>
      <w:r>
        <w:tab/>
      </w:r>
      <w:r>
        <w:tab/>
        <w:t>Visitors</w:t>
      </w:r>
      <w:r w:rsidRPr="007A4456">
        <w:tab/>
      </w:r>
      <w:r w:rsidR="003D32F1">
        <w:tab/>
      </w:r>
      <w:r>
        <w:t>N</w:t>
      </w:r>
    </w:p>
    <w:p w14:paraId="23B50072" w14:textId="77777777" w:rsidR="008C3B5E" w:rsidRDefault="008C3B5E" w:rsidP="006B5F03">
      <w:pPr>
        <w:spacing w:after="120"/>
        <w:rPr>
          <w:rFonts w:cs="Arial"/>
        </w:rPr>
      </w:pPr>
      <w:r>
        <w:rPr>
          <w:rFonts w:cs="Arial"/>
        </w:rPr>
        <w:t>Relevant to: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All students</w:t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</w:p>
    <w:p w14:paraId="71DECA63" w14:textId="77777777" w:rsidR="008C3B5E" w:rsidRDefault="008C3B5E" w:rsidP="006B5F03">
      <w:pPr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16-18 Vocational</w:t>
      </w:r>
      <w:r>
        <w:rPr>
          <w:rFonts w:cs="Arial"/>
        </w:rPr>
        <w:tab/>
      </w:r>
      <w:r>
        <w:t>N</w:t>
      </w:r>
      <w:r>
        <w:rPr>
          <w:rFonts w:cs="Arial"/>
        </w:rPr>
        <w:tab/>
        <w:t>Sixth Form</w:t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</w:p>
    <w:p w14:paraId="0B0721EB" w14:textId="77777777" w:rsidR="008C3B5E" w:rsidRDefault="008C3B5E" w:rsidP="006B5F03">
      <w:pPr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Higher Education</w:t>
      </w:r>
      <w:r>
        <w:rPr>
          <w:rFonts w:cs="Arial"/>
        </w:rPr>
        <w:tab/>
      </w:r>
      <w:r w:rsidR="003D32F1">
        <w:t>Y</w:t>
      </w:r>
      <w:r>
        <w:rPr>
          <w:rFonts w:cs="Arial"/>
        </w:rPr>
        <w:tab/>
        <w:t>Adults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A1E06">
        <w:t>N</w:t>
      </w:r>
    </w:p>
    <w:p w14:paraId="2BACE1DB" w14:textId="77777777" w:rsidR="008C3B5E" w:rsidRDefault="008C3B5E" w:rsidP="006B5F03">
      <w:pPr>
        <w:spacing w:after="120"/>
        <w:ind w:left="2160" w:firstLine="720"/>
        <w:rPr>
          <w:rFonts w:cs="Arial"/>
        </w:rPr>
      </w:pPr>
      <w:r>
        <w:rPr>
          <w:rFonts w:cs="Arial"/>
        </w:rPr>
        <w:t>Apprenticeships</w:t>
      </w:r>
      <w:r>
        <w:rPr>
          <w:rFonts w:cs="Arial"/>
        </w:rPr>
        <w:tab/>
      </w:r>
      <w:r>
        <w:t>N</w:t>
      </w:r>
      <w:r>
        <w:rPr>
          <w:rFonts w:cs="Arial"/>
        </w:rPr>
        <w:tab/>
        <w:t>14-16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</w:p>
    <w:p w14:paraId="22614BDA" w14:textId="77777777" w:rsidR="008C3B5E" w:rsidRPr="007A4456" w:rsidRDefault="008C3B5E" w:rsidP="006B5F03">
      <w:pPr>
        <w:spacing w:after="120"/>
        <w:ind w:left="2160" w:firstLine="72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  <w:r>
        <w:tab/>
        <w:t>………………………</w:t>
      </w:r>
      <w:proofErr w:type="gramStart"/>
      <w:r>
        <w:t>…..</w:t>
      </w:r>
      <w:proofErr w:type="gramEnd"/>
    </w:p>
    <w:p w14:paraId="09A7B401" w14:textId="77777777" w:rsidR="008C3B5E" w:rsidRDefault="003D32F1" w:rsidP="006B5F03">
      <w:pPr>
        <w:spacing w:after="120"/>
      </w:pPr>
      <w:r>
        <w:t>Relevant to:</w:t>
      </w:r>
      <w:r>
        <w:tab/>
      </w:r>
      <w:r>
        <w:tab/>
      </w:r>
      <w:r>
        <w:tab/>
        <w:t>All staff</w:t>
      </w:r>
      <w:r>
        <w:tab/>
      </w:r>
      <w:r>
        <w:tab/>
        <w:t>Y</w:t>
      </w:r>
      <w:r w:rsidR="008C3B5E">
        <w:tab/>
      </w:r>
    </w:p>
    <w:p w14:paraId="01B13A9F" w14:textId="77777777" w:rsidR="008C3B5E" w:rsidRDefault="003D32F1" w:rsidP="006B5F03">
      <w:pPr>
        <w:spacing w:after="120"/>
      </w:pPr>
      <w:r>
        <w:tab/>
      </w:r>
      <w:r>
        <w:tab/>
      </w:r>
      <w:r>
        <w:tab/>
      </w:r>
      <w:r>
        <w:tab/>
        <w:t>Board</w:t>
      </w:r>
      <w:r>
        <w:tab/>
      </w:r>
      <w:r>
        <w:tab/>
      </w:r>
      <w:r>
        <w:tab/>
        <w:t>Y</w:t>
      </w:r>
      <w:r>
        <w:tab/>
        <w:t>SPH</w:t>
      </w:r>
      <w:r>
        <w:tab/>
      </w:r>
      <w:r>
        <w:tab/>
      </w:r>
      <w:r>
        <w:tab/>
        <w:t>Y</w:t>
      </w:r>
    </w:p>
    <w:p w14:paraId="07229858" w14:textId="77777777" w:rsidR="008C3B5E" w:rsidRDefault="003D32F1" w:rsidP="006B5F03">
      <w:pPr>
        <w:spacing w:after="120"/>
        <w:ind w:left="2160" w:firstLine="720"/>
      </w:pPr>
      <w:r>
        <w:t>Managers</w:t>
      </w:r>
      <w:r>
        <w:tab/>
      </w:r>
      <w:r>
        <w:tab/>
        <w:t>Y</w:t>
      </w:r>
    </w:p>
    <w:p w14:paraId="553B0C63" w14:textId="77777777" w:rsidR="008C3B5E" w:rsidRDefault="003D32F1" w:rsidP="006B5F03">
      <w:pPr>
        <w:spacing w:after="120"/>
      </w:pPr>
      <w:r>
        <w:tab/>
      </w:r>
      <w:r>
        <w:tab/>
      </w:r>
      <w:r>
        <w:tab/>
      </w:r>
      <w:r>
        <w:tab/>
        <w:t>Teaching staff</w:t>
      </w:r>
      <w:r>
        <w:tab/>
      </w:r>
      <w:r>
        <w:tab/>
        <w:t>Y</w:t>
      </w:r>
      <w:r>
        <w:tab/>
        <w:t>Support staff</w:t>
      </w:r>
      <w:r>
        <w:tab/>
      </w:r>
      <w:r>
        <w:tab/>
        <w:t>Y</w:t>
      </w:r>
    </w:p>
    <w:p w14:paraId="55570713" w14:textId="77777777" w:rsidR="008C3B5E" w:rsidRDefault="008C3B5E" w:rsidP="006B5F03">
      <w:pPr>
        <w:pBdr>
          <w:bottom w:val="single" w:sz="4" w:space="1" w:color="auto"/>
        </w:pBdr>
        <w:spacing w:after="120"/>
      </w:pPr>
    </w:p>
    <w:p w14:paraId="06B73BA6" w14:textId="77777777" w:rsidR="008C3B5E" w:rsidRDefault="008C3B5E" w:rsidP="006B5F03">
      <w:pPr>
        <w:spacing w:after="120"/>
      </w:pPr>
      <w:r w:rsidRPr="007A4456">
        <w:t xml:space="preserve">Accessible to </w:t>
      </w:r>
      <w:r>
        <w:tab/>
      </w:r>
      <w:r>
        <w:tab/>
      </w:r>
      <w:r>
        <w:tab/>
      </w:r>
      <w:r w:rsidRPr="007A4456">
        <w:t>Students</w:t>
      </w:r>
      <w:r>
        <w:tab/>
      </w:r>
      <w:r w:rsidR="003D32F1">
        <w:tab/>
        <w:t>Y</w:t>
      </w:r>
      <w:r w:rsidR="003D32F1">
        <w:tab/>
        <w:t>Staff</w:t>
      </w:r>
      <w:r w:rsidR="003D32F1">
        <w:tab/>
      </w:r>
      <w:r w:rsidR="003D32F1">
        <w:tab/>
      </w:r>
      <w:r w:rsidR="003D32F1">
        <w:tab/>
        <w:t>Y</w:t>
      </w:r>
    </w:p>
    <w:p w14:paraId="3E77F751" w14:textId="77777777" w:rsidR="008C3B5E" w:rsidRDefault="008C3B5E" w:rsidP="006B5F03">
      <w:pPr>
        <w:spacing w:after="120"/>
      </w:pPr>
      <w:r>
        <w:t>Friendly ve</w:t>
      </w:r>
      <w:r w:rsidR="003D32F1">
        <w:t>rsion</w:t>
      </w:r>
      <w:r w:rsidR="003D32F1">
        <w:tab/>
      </w:r>
      <w:r w:rsidR="003D32F1">
        <w:tab/>
        <w:t>Students</w:t>
      </w:r>
      <w:r w:rsidR="003D32F1">
        <w:tab/>
      </w:r>
      <w:r w:rsidR="003D32F1">
        <w:tab/>
        <w:t>Y</w:t>
      </w:r>
      <w:r w:rsidR="003D32F1">
        <w:tab/>
        <w:t>Staff</w:t>
      </w:r>
      <w:r w:rsidR="003D32F1">
        <w:tab/>
      </w:r>
      <w:r w:rsidR="003D32F1">
        <w:tab/>
      </w:r>
      <w:r w:rsidR="003D32F1">
        <w:tab/>
        <w:t>Y</w:t>
      </w:r>
    </w:p>
    <w:p w14:paraId="1B57B81E" w14:textId="77777777" w:rsidR="008C3B5E" w:rsidRDefault="008C3B5E" w:rsidP="006B5F03">
      <w:pPr>
        <w:pBdr>
          <w:bottom w:val="single" w:sz="4" w:space="1" w:color="auto"/>
        </w:pBdr>
        <w:spacing w:after="120"/>
      </w:pPr>
    </w:p>
    <w:p w14:paraId="0F3F1AA3" w14:textId="77777777" w:rsidR="008C3B5E" w:rsidRDefault="003D32F1" w:rsidP="006B5F03">
      <w:pPr>
        <w:spacing w:after="120"/>
        <w:ind w:left="2160" w:firstLine="720"/>
      </w:pPr>
      <w:r>
        <w:t>EQIA required</w:t>
      </w:r>
      <w:r>
        <w:tab/>
      </w:r>
      <w:r>
        <w:tab/>
      </w:r>
      <w:r w:rsidR="007C734B">
        <w:t>N</w:t>
      </w:r>
    </w:p>
    <w:p w14:paraId="02ED9A7D" w14:textId="77777777" w:rsidR="008C3B5E" w:rsidRDefault="008C3B5E" w:rsidP="006B5F03">
      <w:pPr>
        <w:pBdr>
          <w:bottom w:val="single" w:sz="4" w:space="1" w:color="auto"/>
        </w:pBdr>
        <w:spacing w:after="120"/>
      </w:pPr>
    </w:p>
    <w:p w14:paraId="704C5485" w14:textId="77777777" w:rsidR="008C3B5E" w:rsidRDefault="008C3B5E" w:rsidP="006B5F03">
      <w:pPr>
        <w:spacing w:after="120"/>
      </w:pPr>
      <w:r>
        <w:t>Significant changes to policy</w:t>
      </w:r>
      <w:r w:rsidR="00FC72D3">
        <w:t>:</w:t>
      </w:r>
    </w:p>
    <w:p w14:paraId="0A4F0D27" w14:textId="2AFBDE3C" w:rsidR="008C3B5E" w:rsidRDefault="00F20FA7" w:rsidP="006B5F03">
      <w:pPr>
        <w:pBdr>
          <w:bottom w:val="single" w:sz="4" w:space="1" w:color="auto"/>
        </w:pBdr>
        <w:spacing w:after="120"/>
      </w:pPr>
      <w:r>
        <w:t>None</w:t>
      </w:r>
    </w:p>
    <w:p w14:paraId="28CE351B" w14:textId="77777777" w:rsidR="00EB719D" w:rsidRDefault="00EB719D" w:rsidP="006B5F03">
      <w:pPr>
        <w:pBdr>
          <w:bottom w:val="single" w:sz="4" w:space="1" w:color="auto"/>
        </w:pBdr>
        <w:spacing w:after="120"/>
      </w:pPr>
    </w:p>
    <w:p w14:paraId="15B83EE1" w14:textId="057EAA1B" w:rsidR="008065C9" w:rsidRDefault="008C3B5E" w:rsidP="006B5F03">
      <w:pPr>
        <w:spacing w:after="120"/>
      </w:pPr>
      <w:r>
        <w:t>Impact of changes</w:t>
      </w:r>
      <w:r w:rsidR="00FC72D3">
        <w:t>:</w:t>
      </w:r>
    </w:p>
    <w:p w14:paraId="67507957" w14:textId="154BECE7" w:rsidR="00EB719D" w:rsidRDefault="00EB719D" w:rsidP="006B5F03">
      <w:pPr>
        <w:spacing w:after="120"/>
      </w:pPr>
    </w:p>
    <w:p w14:paraId="1CCC1BC8" w14:textId="77777777" w:rsidR="00EB719D" w:rsidRDefault="00EB719D" w:rsidP="006B5F03">
      <w:pPr>
        <w:spacing w:after="120"/>
      </w:pPr>
    </w:p>
    <w:p w14:paraId="331D69D8" w14:textId="09D82800" w:rsidR="00855A98" w:rsidRDefault="00855A98" w:rsidP="006B5F03">
      <w:pPr>
        <w:spacing w:after="120"/>
      </w:pPr>
      <w:r>
        <w:t>___________________________________________________________________________________</w:t>
      </w:r>
    </w:p>
    <w:p w14:paraId="0A725B37" w14:textId="77777777" w:rsidR="00870DF7" w:rsidRDefault="00870DF7" w:rsidP="008C0F36">
      <w:pPr>
        <w:rPr>
          <w:rFonts w:cs="Arial"/>
          <w:b/>
        </w:rPr>
      </w:pPr>
    </w:p>
    <w:p w14:paraId="6021F4FE" w14:textId="77777777" w:rsidR="00870DF7" w:rsidRDefault="00870DF7" w:rsidP="008C0F36">
      <w:pPr>
        <w:rPr>
          <w:rFonts w:cs="Arial"/>
          <w:b/>
        </w:rPr>
      </w:pPr>
    </w:p>
    <w:p w14:paraId="23130078" w14:textId="77777777" w:rsidR="008C0F36" w:rsidRDefault="00317BC8" w:rsidP="008C0F36">
      <w:pPr>
        <w:rPr>
          <w:rFonts w:cs="Arial"/>
          <w:b/>
        </w:rPr>
      </w:pPr>
      <w:r w:rsidRPr="006B5F03">
        <w:rPr>
          <w:rFonts w:cs="Arial"/>
          <w:b/>
        </w:rPr>
        <w:lastRenderedPageBreak/>
        <w:t>POLICY AIMS AND OBJECTIVES</w:t>
      </w:r>
    </w:p>
    <w:p w14:paraId="2B05B6DD" w14:textId="77777777" w:rsidR="00600CF8" w:rsidRPr="00855A98" w:rsidRDefault="00317BC8" w:rsidP="00F20FA7">
      <w:pPr>
        <w:jc w:val="both"/>
        <w:rPr>
          <w:rFonts w:cs="Arial"/>
          <w:b/>
        </w:rPr>
      </w:pPr>
      <w:r>
        <w:rPr>
          <w:rFonts w:eastAsia="Times New Roman"/>
        </w:rPr>
        <w:t xml:space="preserve">The Higher Education Refund and Compensation Policy aims to set out the provision of compensation and tuition fee </w:t>
      </w:r>
      <w:r w:rsidR="00600CF8">
        <w:rPr>
          <w:rFonts w:eastAsia="Times New Roman"/>
        </w:rPr>
        <w:t xml:space="preserve">refunds </w:t>
      </w:r>
      <w:r>
        <w:rPr>
          <w:rFonts w:eastAsia="Times New Roman"/>
        </w:rPr>
        <w:t xml:space="preserve">for student(s) in the event of non-continuation of any </w:t>
      </w:r>
      <w:r w:rsidRPr="00E3459B">
        <w:rPr>
          <w:rFonts w:eastAsia="Times New Roman"/>
        </w:rPr>
        <w:t>prescribed Higher</w:t>
      </w:r>
      <w:r>
        <w:rPr>
          <w:rFonts w:eastAsia="Times New Roman"/>
        </w:rPr>
        <w:t xml:space="preserve"> Education programme.</w:t>
      </w:r>
    </w:p>
    <w:p w14:paraId="154509C4" w14:textId="77777777" w:rsidR="007C734B" w:rsidRDefault="007C734B" w:rsidP="00F20FA7">
      <w:pPr>
        <w:jc w:val="both"/>
      </w:pPr>
    </w:p>
    <w:p w14:paraId="149450A3" w14:textId="77777777" w:rsidR="00600CF8" w:rsidRDefault="00600CF8" w:rsidP="00F20FA7">
      <w:pPr>
        <w:jc w:val="both"/>
      </w:pPr>
      <w:r>
        <w:t xml:space="preserve">College staff, students, prospective </w:t>
      </w:r>
      <w:proofErr w:type="gramStart"/>
      <w:r>
        <w:t>students</w:t>
      </w:r>
      <w:proofErr w:type="gramEnd"/>
      <w:r>
        <w:t xml:space="preserve"> and students’ sponsors will understand:</w:t>
      </w:r>
    </w:p>
    <w:p w14:paraId="18E64C0B" w14:textId="77777777" w:rsidR="00600CF8" w:rsidRDefault="00600CF8" w:rsidP="00F20FA7">
      <w:pPr>
        <w:pStyle w:val="BulletList1"/>
        <w:jc w:val="both"/>
      </w:pPr>
      <w:r>
        <w:t>T</w:t>
      </w:r>
      <w:r w:rsidR="008065C9">
        <w:t>he measures the c</w:t>
      </w:r>
      <w:r>
        <w:t>ollege will take to compensate students for non-continuation of studies</w:t>
      </w:r>
      <w:r w:rsidR="00C42D32">
        <w:t>.</w:t>
      </w:r>
    </w:p>
    <w:p w14:paraId="55FFF8C5" w14:textId="77777777" w:rsidR="00600CF8" w:rsidRDefault="00600CF8" w:rsidP="00F20FA7">
      <w:pPr>
        <w:pStyle w:val="BulletList1"/>
        <w:jc w:val="both"/>
      </w:pPr>
      <w:r>
        <w:t>How refunds of tuition fees and compensation will be determined</w:t>
      </w:r>
      <w:r w:rsidR="00C42D32">
        <w:t>.</w:t>
      </w:r>
    </w:p>
    <w:p w14:paraId="57F76EF0" w14:textId="77777777" w:rsidR="00600CF8" w:rsidRDefault="00600CF8" w:rsidP="00F20FA7">
      <w:pPr>
        <w:pStyle w:val="BulletList1"/>
        <w:spacing w:after="0" w:afterAutospacing="0"/>
        <w:jc w:val="both"/>
      </w:pPr>
      <w:r w:rsidRPr="00E3459B">
        <w:t>Payment of bursaries, where applicable.</w:t>
      </w:r>
    </w:p>
    <w:p w14:paraId="4A67D111" w14:textId="77777777" w:rsidR="008065C9" w:rsidRDefault="008065C9" w:rsidP="008065C9"/>
    <w:p w14:paraId="0BCC57E3" w14:textId="77777777" w:rsidR="008065C9" w:rsidRPr="00E3459B" w:rsidRDefault="008065C9" w:rsidP="008065C9"/>
    <w:p w14:paraId="395469B8" w14:textId="77777777" w:rsidR="009D1F31" w:rsidRDefault="00497661" w:rsidP="00F20FA7">
      <w:pPr>
        <w:pStyle w:val="Heading1"/>
        <w:jc w:val="both"/>
        <w:rPr>
          <w:rFonts w:eastAsia="Times New Roman"/>
        </w:rPr>
      </w:pPr>
      <w:r>
        <w:rPr>
          <w:rFonts w:eastAsia="Times New Roman"/>
        </w:rPr>
        <w:t xml:space="preserve">SCOPE AND </w:t>
      </w:r>
      <w:r w:rsidR="009D1F31" w:rsidRPr="009D1F31">
        <w:rPr>
          <w:rFonts w:eastAsia="Times New Roman"/>
        </w:rPr>
        <w:t>PURPOSE</w:t>
      </w:r>
    </w:p>
    <w:p w14:paraId="766891E8" w14:textId="4F3F32C6" w:rsidR="008D3E87" w:rsidRPr="006B5F03" w:rsidRDefault="008D3E87" w:rsidP="00F20FA7">
      <w:pPr>
        <w:jc w:val="both"/>
        <w:rPr>
          <w:rFonts w:cs="Arial"/>
        </w:rPr>
      </w:pPr>
      <w:r w:rsidRPr="006B5F03">
        <w:rPr>
          <w:rFonts w:cs="Arial"/>
        </w:rPr>
        <w:t xml:space="preserve">As a registered provider of Higher Education, </w:t>
      </w:r>
      <w:r w:rsidR="00A153CD" w:rsidRPr="006B5F03">
        <w:rPr>
          <w:rFonts w:cs="Arial"/>
        </w:rPr>
        <w:t xml:space="preserve">Barnsley College </w:t>
      </w:r>
      <w:r w:rsidR="00F20FA7">
        <w:rPr>
          <w:rFonts w:cs="Arial"/>
        </w:rPr>
        <w:t>is required to have</w:t>
      </w:r>
      <w:r w:rsidRPr="006B5F03">
        <w:rPr>
          <w:rFonts w:cs="Arial"/>
        </w:rPr>
        <w:t xml:space="preserve"> a</w:t>
      </w:r>
      <w:r w:rsidR="0019480C">
        <w:rPr>
          <w:rFonts w:cs="Arial"/>
        </w:rPr>
        <w:t xml:space="preserve"> published</w:t>
      </w:r>
      <w:r w:rsidRPr="006B5F03">
        <w:rPr>
          <w:rFonts w:cs="Arial"/>
        </w:rPr>
        <w:t xml:space="preserve"> </w:t>
      </w:r>
      <w:hyperlink r:id="rId8" w:history="1">
        <w:r w:rsidRPr="0019480C">
          <w:rPr>
            <w:rStyle w:val="Hyperlink"/>
            <w:rFonts w:cs="Arial"/>
          </w:rPr>
          <w:t>Student Protection Plan</w:t>
        </w:r>
      </w:hyperlink>
      <w:r w:rsidR="00F20FA7">
        <w:rPr>
          <w:rFonts w:cs="Arial"/>
        </w:rPr>
        <w:t>. This</w:t>
      </w:r>
      <w:r w:rsidRPr="006B5F03">
        <w:rPr>
          <w:rFonts w:cs="Arial"/>
        </w:rPr>
        <w:t xml:space="preserve"> sets out</w:t>
      </w:r>
      <w:r w:rsidR="00837031" w:rsidRPr="006B5F03">
        <w:rPr>
          <w:rFonts w:cs="Arial"/>
        </w:rPr>
        <w:t xml:space="preserve"> </w:t>
      </w:r>
      <w:r w:rsidR="008065C9">
        <w:rPr>
          <w:rFonts w:cs="Arial"/>
        </w:rPr>
        <w:t>the measures the c</w:t>
      </w:r>
      <w:r w:rsidRPr="006B5F03">
        <w:rPr>
          <w:rFonts w:cs="Arial"/>
        </w:rPr>
        <w:t xml:space="preserve">ollege will take to ensure </w:t>
      </w:r>
      <w:r w:rsidR="00F20FA7">
        <w:rPr>
          <w:rFonts w:cs="Arial"/>
        </w:rPr>
        <w:t xml:space="preserve">how </w:t>
      </w:r>
      <w:r w:rsidRPr="006B5F03">
        <w:rPr>
          <w:rFonts w:cs="Arial"/>
        </w:rPr>
        <w:t>continuation and quality of study will be preserved for current and potential students if a risk to their c</w:t>
      </w:r>
      <w:r w:rsidR="00837031" w:rsidRPr="006B5F03">
        <w:rPr>
          <w:rFonts w:cs="Arial"/>
        </w:rPr>
        <w:t>ontinued study materialises. The Student</w:t>
      </w:r>
      <w:r w:rsidRPr="006B5F03">
        <w:rPr>
          <w:rFonts w:cs="Arial"/>
        </w:rPr>
        <w:t xml:space="preserve"> Protection Plan is designed to </w:t>
      </w:r>
      <w:r w:rsidR="007846C8" w:rsidRPr="006B5F03">
        <w:rPr>
          <w:rFonts w:cs="Arial"/>
        </w:rPr>
        <w:t>assure current and future s</w:t>
      </w:r>
      <w:r w:rsidR="008065C9">
        <w:rPr>
          <w:rFonts w:cs="Arial"/>
        </w:rPr>
        <w:t>tudents that the c</w:t>
      </w:r>
      <w:r w:rsidR="007846C8" w:rsidRPr="006B5F03">
        <w:rPr>
          <w:rFonts w:cs="Arial"/>
        </w:rPr>
        <w:t>ollege has appropriate arrangement</w:t>
      </w:r>
      <w:r w:rsidR="00837031" w:rsidRPr="006B5F03">
        <w:rPr>
          <w:rFonts w:cs="Arial"/>
        </w:rPr>
        <w:t>s</w:t>
      </w:r>
      <w:r w:rsidR="007846C8" w:rsidRPr="006B5F03">
        <w:rPr>
          <w:rFonts w:cs="Arial"/>
        </w:rPr>
        <w:t xml:space="preserve"> in place to protect continuation of study; it assess</w:t>
      </w:r>
      <w:r w:rsidR="00AD5903" w:rsidRPr="006B5F03">
        <w:rPr>
          <w:rFonts w:cs="Arial"/>
        </w:rPr>
        <w:t>es</w:t>
      </w:r>
      <w:r w:rsidR="007846C8" w:rsidRPr="006B5F03">
        <w:rPr>
          <w:rFonts w:cs="Arial"/>
        </w:rPr>
        <w:t xml:space="preserve"> the risks to continuation and identifies action to minimise both the possibility and potential impact on students.</w:t>
      </w:r>
    </w:p>
    <w:p w14:paraId="24B257DC" w14:textId="77777777" w:rsidR="0027548F" w:rsidRPr="0027548F" w:rsidRDefault="0027548F" w:rsidP="00F20FA7">
      <w:pPr>
        <w:jc w:val="both"/>
        <w:rPr>
          <w:rFonts w:cs="Arial"/>
        </w:rPr>
      </w:pPr>
    </w:p>
    <w:p w14:paraId="68E16005" w14:textId="7A07F189" w:rsidR="008D3E87" w:rsidRPr="006B5F03" w:rsidRDefault="00837031" w:rsidP="00F20FA7">
      <w:pPr>
        <w:jc w:val="both"/>
        <w:rPr>
          <w:rFonts w:cs="Arial"/>
        </w:rPr>
      </w:pPr>
      <w:r w:rsidRPr="006B5F03">
        <w:rPr>
          <w:rFonts w:cs="Arial"/>
        </w:rPr>
        <w:t>In addition to the</w:t>
      </w:r>
      <w:r w:rsidR="007846C8" w:rsidRPr="006B5F03">
        <w:rPr>
          <w:rFonts w:cs="Arial"/>
        </w:rPr>
        <w:t xml:space="preserve"> Student Protection Plan</w:t>
      </w:r>
      <w:r w:rsidR="008065C9">
        <w:rPr>
          <w:rFonts w:cs="Arial"/>
        </w:rPr>
        <w:t xml:space="preserve">, the </w:t>
      </w:r>
      <w:r w:rsidR="0019480C">
        <w:rPr>
          <w:rFonts w:cs="Arial"/>
        </w:rPr>
        <w:t>C</w:t>
      </w:r>
      <w:r w:rsidR="00870883" w:rsidRPr="006B5F03">
        <w:rPr>
          <w:rFonts w:cs="Arial"/>
        </w:rPr>
        <w:t>ollege is required to adopt a Refund and Compensat</w:t>
      </w:r>
      <w:r w:rsidR="008065C9">
        <w:rPr>
          <w:rFonts w:cs="Arial"/>
        </w:rPr>
        <w:t>ion Policy in the event of the c</w:t>
      </w:r>
      <w:r w:rsidR="00870883" w:rsidRPr="006B5F03">
        <w:rPr>
          <w:rFonts w:cs="Arial"/>
        </w:rPr>
        <w:t>ollege being unable to preserve the continuation of study. This</w:t>
      </w:r>
      <w:r w:rsidR="00E3459B" w:rsidRPr="006B5F03">
        <w:rPr>
          <w:rFonts w:cs="Arial"/>
        </w:rPr>
        <w:t xml:space="preserve"> </w:t>
      </w:r>
      <w:r w:rsidR="00870883" w:rsidRPr="006B5F03">
        <w:rPr>
          <w:rFonts w:cs="Arial"/>
        </w:rPr>
        <w:t>policy sets out the circumstance</w:t>
      </w:r>
      <w:r w:rsidR="008065C9">
        <w:rPr>
          <w:rFonts w:cs="Arial"/>
        </w:rPr>
        <w:t>s in which the c</w:t>
      </w:r>
      <w:r w:rsidR="00C0382B" w:rsidRPr="006B5F03">
        <w:rPr>
          <w:rFonts w:cs="Arial"/>
        </w:rPr>
        <w:t xml:space="preserve">ollege will provide a refund of tuition fees and provide compensation where the </w:t>
      </w:r>
      <w:r w:rsidR="008065C9">
        <w:rPr>
          <w:rFonts w:cs="Arial"/>
        </w:rPr>
        <w:t>c</w:t>
      </w:r>
      <w:r w:rsidR="00C0382B" w:rsidRPr="006B5F03">
        <w:rPr>
          <w:rFonts w:cs="Arial"/>
        </w:rPr>
        <w:t xml:space="preserve">ollege is not able to continue delivering a particular programme of study. </w:t>
      </w:r>
    </w:p>
    <w:p w14:paraId="292D9C80" w14:textId="77777777" w:rsidR="005230EE" w:rsidRPr="005230EE" w:rsidRDefault="005230EE" w:rsidP="00F20FA7">
      <w:pPr>
        <w:pStyle w:val="ListParagraph"/>
        <w:ind w:left="0"/>
        <w:jc w:val="both"/>
        <w:rPr>
          <w:rFonts w:cs="Arial"/>
        </w:rPr>
      </w:pPr>
    </w:p>
    <w:p w14:paraId="55D99791" w14:textId="77777777" w:rsidR="005230EE" w:rsidRPr="006B5F03" w:rsidRDefault="005230EE" w:rsidP="00F20FA7">
      <w:pPr>
        <w:jc w:val="both"/>
        <w:rPr>
          <w:rFonts w:cs="Arial"/>
        </w:rPr>
      </w:pPr>
      <w:r w:rsidRPr="006B5F03">
        <w:rPr>
          <w:rFonts w:cs="Arial"/>
        </w:rPr>
        <w:t>This policy is applicable to students in receipt of a tuition fee loan (Student Finance England), students who pay their own fees and those who</w:t>
      </w:r>
      <w:r w:rsidR="00AD5903" w:rsidRPr="006B5F03">
        <w:rPr>
          <w:rFonts w:cs="Arial"/>
        </w:rPr>
        <w:t>se</w:t>
      </w:r>
      <w:r w:rsidRPr="006B5F03">
        <w:rPr>
          <w:rFonts w:cs="Arial"/>
        </w:rPr>
        <w:t xml:space="preserve"> tuition fees are paid by a sponsor.</w:t>
      </w:r>
    </w:p>
    <w:p w14:paraId="179870F1" w14:textId="77777777" w:rsidR="0027548F" w:rsidRPr="0027548F" w:rsidRDefault="0027548F" w:rsidP="00F20FA7">
      <w:pPr>
        <w:pStyle w:val="ListParagraph"/>
        <w:ind w:left="0"/>
        <w:jc w:val="both"/>
        <w:rPr>
          <w:rFonts w:cs="Arial"/>
        </w:rPr>
      </w:pPr>
    </w:p>
    <w:p w14:paraId="4E318A2B" w14:textId="77777777" w:rsidR="0045758E" w:rsidRPr="006B5F03" w:rsidRDefault="008065C9" w:rsidP="00F20FA7">
      <w:pPr>
        <w:jc w:val="both"/>
        <w:rPr>
          <w:rFonts w:cs="Arial"/>
        </w:rPr>
      </w:pPr>
      <w:r>
        <w:rPr>
          <w:rFonts w:cs="Arial"/>
        </w:rPr>
        <w:t>The c</w:t>
      </w:r>
      <w:r w:rsidR="00C0382B" w:rsidRPr="006B5F03">
        <w:rPr>
          <w:rFonts w:cs="Arial"/>
        </w:rPr>
        <w:t>ollege considers refunds and compensation a</w:t>
      </w:r>
      <w:r w:rsidR="00AD5903" w:rsidRPr="006B5F03">
        <w:rPr>
          <w:rFonts w:cs="Arial"/>
        </w:rPr>
        <w:t>s a</w:t>
      </w:r>
      <w:r w:rsidR="00C0382B" w:rsidRPr="006B5F03">
        <w:rPr>
          <w:rFonts w:cs="Arial"/>
        </w:rPr>
        <w:t xml:space="preserve"> </w:t>
      </w:r>
      <w:r w:rsidR="0045758E" w:rsidRPr="006B5F03">
        <w:rPr>
          <w:rFonts w:cs="Arial"/>
        </w:rPr>
        <w:t xml:space="preserve">final </w:t>
      </w:r>
      <w:proofErr w:type="gramStart"/>
      <w:r w:rsidR="0045758E" w:rsidRPr="006B5F03">
        <w:rPr>
          <w:rFonts w:cs="Arial"/>
        </w:rPr>
        <w:t>resort, and</w:t>
      </w:r>
      <w:proofErr w:type="gramEnd"/>
      <w:r w:rsidR="0045758E" w:rsidRPr="006B5F03">
        <w:rPr>
          <w:rFonts w:cs="Arial"/>
        </w:rPr>
        <w:t xml:space="preserve"> will do everything </w:t>
      </w:r>
      <w:r w:rsidR="00AD5903" w:rsidRPr="006B5F03">
        <w:rPr>
          <w:rFonts w:cs="Arial"/>
        </w:rPr>
        <w:t xml:space="preserve">reasonably possible </w:t>
      </w:r>
      <w:r w:rsidR="0045758E" w:rsidRPr="006B5F03">
        <w:rPr>
          <w:rFonts w:cs="Arial"/>
        </w:rPr>
        <w:t>to ensure that all students have the opportunity to complete their chosen programme of study. However, there m</w:t>
      </w:r>
      <w:r>
        <w:rPr>
          <w:rFonts w:cs="Arial"/>
        </w:rPr>
        <w:t>ay be rare instances where the c</w:t>
      </w:r>
      <w:r w:rsidR="0045758E" w:rsidRPr="006B5F03">
        <w:rPr>
          <w:rFonts w:cs="Arial"/>
        </w:rPr>
        <w:t>ollege is unable to do this, and this Policy outlines where refunds and compensation may be possible.</w:t>
      </w:r>
    </w:p>
    <w:p w14:paraId="5D8E6B70" w14:textId="77777777" w:rsidR="0045758E" w:rsidRDefault="0045758E" w:rsidP="006B5F03">
      <w:pPr>
        <w:rPr>
          <w:rFonts w:cs="Arial"/>
        </w:rPr>
      </w:pPr>
    </w:p>
    <w:p w14:paraId="3BBC7D08" w14:textId="77777777" w:rsidR="0045758E" w:rsidRPr="006B5F03" w:rsidRDefault="008065C9" w:rsidP="00F20FA7">
      <w:pPr>
        <w:jc w:val="both"/>
        <w:rPr>
          <w:rFonts w:cs="Arial"/>
        </w:rPr>
      </w:pPr>
      <w:r>
        <w:rPr>
          <w:rFonts w:cs="Arial"/>
        </w:rPr>
        <w:t xml:space="preserve">In </w:t>
      </w:r>
      <w:r w:rsidR="00FC72D3">
        <w:rPr>
          <w:rFonts w:cs="Arial"/>
        </w:rPr>
        <w:t>this p</w:t>
      </w:r>
      <w:r>
        <w:rPr>
          <w:rFonts w:cs="Arial"/>
        </w:rPr>
        <w:t>olicy, where the c</w:t>
      </w:r>
      <w:r w:rsidR="0045758E" w:rsidRPr="006B5F03">
        <w:rPr>
          <w:rFonts w:cs="Arial"/>
        </w:rPr>
        <w:t>ollege is no longer able to preserve continuation of studies, we are referring to the closure or intention to close:</w:t>
      </w:r>
    </w:p>
    <w:p w14:paraId="49157179" w14:textId="77777777" w:rsidR="0045758E" w:rsidRPr="006B5F03" w:rsidRDefault="0045758E" w:rsidP="00F20FA7">
      <w:pPr>
        <w:pStyle w:val="BulletList1"/>
        <w:jc w:val="both"/>
      </w:pPr>
      <w:r w:rsidRPr="006B5F03">
        <w:t xml:space="preserve">A Programme on which individual(s) have been offered or accepted a place </w:t>
      </w:r>
      <w:r w:rsidRPr="006B5F03">
        <w:rPr>
          <w:b/>
        </w:rPr>
        <w:t>prior</w:t>
      </w:r>
      <w:r w:rsidRPr="006B5F03">
        <w:t xml:space="preserve"> to </w:t>
      </w:r>
      <w:r w:rsidR="00317BC8" w:rsidRPr="006B5F03">
        <w:t>enrolment</w:t>
      </w:r>
      <w:r w:rsidR="00624A15" w:rsidRPr="006B5F03">
        <w:t>.</w:t>
      </w:r>
    </w:p>
    <w:p w14:paraId="56AF196E" w14:textId="77777777" w:rsidR="0045758E" w:rsidRPr="006B5F03" w:rsidRDefault="0045758E" w:rsidP="00F20FA7">
      <w:pPr>
        <w:pStyle w:val="BulletList1"/>
        <w:spacing w:after="0" w:afterAutospacing="0"/>
        <w:jc w:val="both"/>
      </w:pPr>
      <w:r w:rsidRPr="006B5F03">
        <w:t xml:space="preserve">A Programme </w:t>
      </w:r>
      <w:r w:rsidR="00624A15" w:rsidRPr="006B5F03">
        <w:t xml:space="preserve">on which student(s) are </w:t>
      </w:r>
      <w:r w:rsidR="00317BC8" w:rsidRPr="006B5F03">
        <w:rPr>
          <w:b/>
        </w:rPr>
        <w:t>enrolled</w:t>
      </w:r>
      <w:r w:rsidR="00624A15" w:rsidRPr="006B5F03">
        <w:t xml:space="preserve"> before those student(s) have completed that Programme.</w:t>
      </w:r>
    </w:p>
    <w:p w14:paraId="166F6F13" w14:textId="77777777" w:rsidR="0045758E" w:rsidRDefault="0045758E" w:rsidP="006B5F03">
      <w:pPr>
        <w:rPr>
          <w:rFonts w:cs="Arial"/>
        </w:rPr>
      </w:pPr>
    </w:p>
    <w:p w14:paraId="4C04E4C6" w14:textId="77777777" w:rsidR="003B677A" w:rsidRPr="006B5F03" w:rsidRDefault="003B677A" w:rsidP="006B5F03">
      <w:pPr>
        <w:rPr>
          <w:rFonts w:cs="Arial"/>
        </w:rPr>
      </w:pPr>
      <w:r w:rsidRPr="006B5F03">
        <w:rPr>
          <w:rFonts w:cs="Arial"/>
        </w:rPr>
        <w:t xml:space="preserve">The </w:t>
      </w:r>
      <w:r w:rsidR="008065C9">
        <w:rPr>
          <w:rFonts w:cs="Arial"/>
        </w:rPr>
        <w:t>c</w:t>
      </w:r>
      <w:r w:rsidRPr="006B5F03">
        <w:rPr>
          <w:rFonts w:cs="Arial"/>
        </w:rPr>
        <w:t xml:space="preserve">ollege recognises two sets of circumstances where the </w:t>
      </w:r>
      <w:r w:rsidR="008065C9">
        <w:rPr>
          <w:rFonts w:cs="Arial"/>
        </w:rPr>
        <w:t>c</w:t>
      </w:r>
      <w:r w:rsidRPr="006B5F03">
        <w:rPr>
          <w:rFonts w:cs="Arial"/>
        </w:rPr>
        <w:t xml:space="preserve">ollege would not </w:t>
      </w:r>
      <w:r w:rsidR="00AD5903" w:rsidRPr="006B5F03">
        <w:rPr>
          <w:rFonts w:cs="Arial"/>
        </w:rPr>
        <w:t xml:space="preserve">be </w:t>
      </w:r>
      <w:r w:rsidRPr="006B5F03">
        <w:rPr>
          <w:rFonts w:cs="Arial"/>
        </w:rPr>
        <w:t>able to continue delivering a particular programme of study:</w:t>
      </w:r>
    </w:p>
    <w:p w14:paraId="72C95499" w14:textId="77777777" w:rsidR="003B677A" w:rsidRDefault="003B677A" w:rsidP="008065C9">
      <w:pPr>
        <w:pStyle w:val="BulletList1"/>
      </w:pPr>
      <w:r>
        <w:t xml:space="preserve">Planned </w:t>
      </w:r>
      <w:r w:rsidR="00040679">
        <w:t xml:space="preserve">non-continuation of </w:t>
      </w:r>
      <w:r>
        <w:t>programme</w:t>
      </w:r>
      <w:r w:rsidR="008065C9">
        <w:t>.</w:t>
      </w:r>
    </w:p>
    <w:p w14:paraId="30BF552A" w14:textId="77777777" w:rsidR="003B677A" w:rsidRPr="003B677A" w:rsidRDefault="003B677A" w:rsidP="008065C9">
      <w:pPr>
        <w:pStyle w:val="BulletList1"/>
      </w:pPr>
      <w:r>
        <w:t>Unexpected</w:t>
      </w:r>
      <w:r w:rsidR="00040679">
        <w:t xml:space="preserve"> non-continuation</w:t>
      </w:r>
      <w:r w:rsidR="008065C9">
        <w:t xml:space="preserve"> programme.</w:t>
      </w:r>
      <w:r>
        <w:t xml:space="preserve"> </w:t>
      </w:r>
    </w:p>
    <w:p w14:paraId="3732EF2B" w14:textId="77777777" w:rsidR="0021182A" w:rsidRDefault="00FC72D3" w:rsidP="00F20FA7">
      <w:pPr>
        <w:jc w:val="both"/>
        <w:rPr>
          <w:rFonts w:cs="Arial"/>
        </w:rPr>
      </w:pPr>
      <w:r>
        <w:rPr>
          <w:rFonts w:cs="Arial"/>
        </w:rPr>
        <w:t>This p</w:t>
      </w:r>
      <w:r w:rsidR="00624A15" w:rsidRPr="006B5F03">
        <w:rPr>
          <w:rFonts w:cs="Arial"/>
        </w:rPr>
        <w:t>olicy does not cover the closure of programmes where all registered students who would normally have been expected to complete at the date of closure have done so.</w:t>
      </w:r>
    </w:p>
    <w:p w14:paraId="380E2654" w14:textId="77777777" w:rsidR="007846C8" w:rsidRPr="006B5F03" w:rsidRDefault="008901A6" w:rsidP="008C0F36">
      <w:pPr>
        <w:pStyle w:val="Heading2"/>
      </w:pPr>
      <w:r w:rsidRPr="006B5F03">
        <w:lastRenderedPageBreak/>
        <w:t>P</w:t>
      </w:r>
      <w:r w:rsidR="008C0F36">
        <w:t xml:space="preserve">lanned Non-continuation of </w:t>
      </w:r>
      <w:proofErr w:type="gramStart"/>
      <w:r w:rsidR="008C0F36">
        <w:t>Programmes</w:t>
      </w:r>
      <w:proofErr w:type="gramEnd"/>
      <w:r w:rsidR="008C0F36">
        <w:t xml:space="preserve"> </w:t>
      </w:r>
    </w:p>
    <w:p w14:paraId="0FAB3C8B" w14:textId="77777777" w:rsidR="00F20FA7" w:rsidRDefault="00F20FA7" w:rsidP="0021182A">
      <w:pPr>
        <w:pStyle w:val="Heading2"/>
      </w:pPr>
    </w:p>
    <w:p w14:paraId="11E138F7" w14:textId="2B9509F1" w:rsidR="0021182A" w:rsidRDefault="008901A6" w:rsidP="00F20FA7">
      <w:pPr>
        <w:pStyle w:val="Heading2"/>
        <w:jc w:val="both"/>
      </w:pPr>
      <w:r w:rsidRPr="006B5F03">
        <w:t>Enrolled Students</w:t>
      </w:r>
    </w:p>
    <w:p w14:paraId="0853040C" w14:textId="77777777" w:rsidR="008901A6" w:rsidRDefault="008901A6" w:rsidP="00F20FA7">
      <w:pPr>
        <w:jc w:val="right"/>
        <w:rPr>
          <w:rFonts w:cs="Arial"/>
        </w:rPr>
      </w:pPr>
      <w:r>
        <w:rPr>
          <w:rFonts w:cs="Arial"/>
        </w:rPr>
        <w:t>W</w:t>
      </w:r>
      <w:r w:rsidR="008065C9">
        <w:rPr>
          <w:rFonts w:cs="Arial"/>
        </w:rPr>
        <w:t>here the c</w:t>
      </w:r>
      <w:r>
        <w:rPr>
          <w:rFonts w:cs="Arial"/>
        </w:rPr>
        <w:t xml:space="preserve">ollege takes the decision to close a programme, </w:t>
      </w:r>
      <w:r w:rsidR="008065C9">
        <w:rPr>
          <w:rFonts w:cs="Arial"/>
        </w:rPr>
        <w:t>the c</w:t>
      </w:r>
      <w:r>
        <w:rPr>
          <w:rFonts w:cs="Arial"/>
        </w:rPr>
        <w:t>ollege will, wherever possible, ensure that all enrolled students</w:t>
      </w:r>
      <w:r w:rsidR="00BA1AF3">
        <w:rPr>
          <w:rFonts w:cs="Arial"/>
        </w:rPr>
        <w:t xml:space="preserve"> are able to complete their programme of study.  </w:t>
      </w:r>
      <w:r w:rsidR="00901C28">
        <w:rPr>
          <w:rFonts w:cs="Arial"/>
        </w:rPr>
        <w:t xml:space="preserve">Only in extreme circumstances, </w:t>
      </w:r>
      <w:r w:rsidR="00BA1AF3">
        <w:rPr>
          <w:rFonts w:cs="Arial"/>
        </w:rPr>
        <w:t>this may</w:t>
      </w:r>
      <w:r w:rsidR="00901C28">
        <w:rPr>
          <w:rFonts w:cs="Arial"/>
        </w:rPr>
        <w:t xml:space="preserve"> not be possible and in the e</w:t>
      </w:r>
      <w:r w:rsidR="008065C9">
        <w:rPr>
          <w:rFonts w:cs="Arial"/>
        </w:rPr>
        <w:t>vent of such an occurrence the c</w:t>
      </w:r>
      <w:r w:rsidR="00901C28">
        <w:rPr>
          <w:rFonts w:cs="Arial"/>
        </w:rPr>
        <w:t>ollege will:</w:t>
      </w:r>
    </w:p>
    <w:p w14:paraId="73CEE931" w14:textId="77777777" w:rsidR="00901C28" w:rsidRDefault="00901C28" w:rsidP="00F20FA7">
      <w:pPr>
        <w:pStyle w:val="BulletList1"/>
        <w:jc w:val="both"/>
      </w:pPr>
      <w:r w:rsidRPr="00901C28">
        <w:t xml:space="preserve">Consult with </w:t>
      </w:r>
      <w:r w:rsidRPr="0027548F">
        <w:rPr>
          <w:b/>
        </w:rPr>
        <w:t>all</w:t>
      </w:r>
      <w:r w:rsidRPr="00901C28">
        <w:t xml:space="preserve"> students at the earliest opportunity</w:t>
      </w:r>
      <w:r w:rsidR="008065C9">
        <w:t>.</w:t>
      </w:r>
    </w:p>
    <w:p w14:paraId="63D4FCC7" w14:textId="77777777" w:rsidR="00901C28" w:rsidRDefault="00901C28" w:rsidP="00F20FA7">
      <w:pPr>
        <w:pStyle w:val="BulletList1"/>
        <w:jc w:val="both"/>
      </w:pPr>
      <w:r>
        <w:t xml:space="preserve">Offer advice, </w:t>
      </w:r>
      <w:proofErr w:type="gramStart"/>
      <w:r>
        <w:t>support</w:t>
      </w:r>
      <w:proofErr w:type="gramEnd"/>
      <w:r>
        <w:t xml:space="preserve"> and guidance to assist </w:t>
      </w:r>
      <w:r w:rsidR="007D645D" w:rsidRPr="007D645D">
        <w:rPr>
          <w:b/>
        </w:rPr>
        <w:t>all</w:t>
      </w:r>
      <w:r w:rsidR="007D645D">
        <w:t xml:space="preserve"> </w:t>
      </w:r>
      <w:r>
        <w:t>students in deciding whether to transfer to another programme within the institution o</w:t>
      </w:r>
      <w:r w:rsidR="00AD5903">
        <w:t>r</w:t>
      </w:r>
      <w:r>
        <w:t xml:space="preserve"> to tran</w:t>
      </w:r>
      <w:r w:rsidR="003B677A">
        <w:t>sfer to an alternative provider</w:t>
      </w:r>
      <w:r w:rsidR="008065C9">
        <w:t>.</w:t>
      </w:r>
    </w:p>
    <w:p w14:paraId="7CF2416B" w14:textId="77777777" w:rsidR="006B5F03" w:rsidRDefault="00901C28" w:rsidP="00F20FA7">
      <w:pPr>
        <w:pStyle w:val="BulletList1"/>
        <w:jc w:val="both"/>
      </w:pPr>
      <w:r>
        <w:t xml:space="preserve">Implement, in consultation with the Students’ Union, a compensation </w:t>
      </w:r>
      <w:proofErr w:type="gramStart"/>
      <w:r>
        <w:t>plan</w:t>
      </w:r>
      <w:proofErr w:type="gramEnd"/>
      <w:r>
        <w:t xml:space="preserve"> relevant to the circumstances of the particular </w:t>
      </w:r>
      <w:r w:rsidR="00837031">
        <w:t>closure that</w:t>
      </w:r>
      <w:r>
        <w:t xml:space="preserve"> will include provision for compensation in respect to additional costs reasonabl</w:t>
      </w:r>
      <w:r w:rsidR="00AD5903">
        <w:t>y</w:t>
      </w:r>
      <w:r>
        <w:t xml:space="preserve"> incurred by students as a result of any relocation. This may include:</w:t>
      </w:r>
      <w:r>
        <w:tab/>
      </w:r>
    </w:p>
    <w:p w14:paraId="74C4B1FC" w14:textId="77777777" w:rsidR="00901C28" w:rsidRDefault="00901C28" w:rsidP="006B5F03">
      <w:pPr>
        <w:pStyle w:val="BulletList2"/>
      </w:pPr>
      <w:r>
        <w:t>Additional tuition costs</w:t>
      </w:r>
      <w:r w:rsidR="008065C9">
        <w:t>.</w:t>
      </w:r>
    </w:p>
    <w:p w14:paraId="38ED0429" w14:textId="77777777" w:rsidR="00901C28" w:rsidRDefault="003B677A" w:rsidP="006B5F03">
      <w:pPr>
        <w:pStyle w:val="BulletList2"/>
      </w:pPr>
      <w:r>
        <w:t>Maintenance</w:t>
      </w:r>
      <w:r w:rsidR="00901C28">
        <w:t xml:space="preserve"> costs</w:t>
      </w:r>
      <w:r w:rsidR="008065C9">
        <w:t>.</w:t>
      </w:r>
    </w:p>
    <w:p w14:paraId="77C57D38" w14:textId="77777777" w:rsidR="00901C28" w:rsidRDefault="005230EE" w:rsidP="008065C9">
      <w:pPr>
        <w:pStyle w:val="BulletList2"/>
        <w:spacing w:before="0" w:after="0" w:afterAutospacing="0"/>
      </w:pPr>
      <w:r>
        <w:t>Additional t</w:t>
      </w:r>
      <w:r w:rsidR="008065C9">
        <w:t>ravel costs.</w:t>
      </w:r>
    </w:p>
    <w:p w14:paraId="6E61D5DC" w14:textId="77777777" w:rsidR="003B677A" w:rsidRDefault="003B677A" w:rsidP="008065C9">
      <w:pPr>
        <w:pStyle w:val="BulletList2"/>
        <w:spacing w:before="0" w:after="120" w:afterAutospacing="0"/>
        <w:contextualSpacing w:val="0"/>
      </w:pPr>
      <w:r>
        <w:t>Lost study time</w:t>
      </w:r>
      <w:r w:rsidR="008065C9">
        <w:t>.</w:t>
      </w:r>
    </w:p>
    <w:p w14:paraId="3A565754" w14:textId="77777777" w:rsidR="003B677A" w:rsidRDefault="003B677A" w:rsidP="00F20FA7">
      <w:pPr>
        <w:pStyle w:val="ListParagraph"/>
        <w:numPr>
          <w:ilvl w:val="0"/>
          <w:numId w:val="37"/>
        </w:numPr>
        <w:jc w:val="both"/>
        <w:rPr>
          <w:rFonts w:cs="Arial"/>
        </w:rPr>
      </w:pPr>
      <w:r>
        <w:rPr>
          <w:rFonts w:cs="Arial"/>
        </w:rPr>
        <w:t>Ensure that any entitlement to a bursary will continue if the student transfers to another pro</w:t>
      </w:r>
      <w:r w:rsidR="00837031">
        <w:rPr>
          <w:rFonts w:cs="Arial"/>
        </w:rPr>
        <w:t xml:space="preserve">gramme or alternative </w:t>
      </w:r>
      <w:proofErr w:type="gramStart"/>
      <w:r w:rsidR="00837031">
        <w:rPr>
          <w:rFonts w:cs="Arial"/>
        </w:rPr>
        <w:t>provider</w:t>
      </w:r>
      <w:proofErr w:type="gramEnd"/>
    </w:p>
    <w:p w14:paraId="1D60F57A" w14:textId="77777777" w:rsidR="003B677A" w:rsidRDefault="003B677A" w:rsidP="006B5F03">
      <w:pPr>
        <w:rPr>
          <w:rFonts w:cs="Arial"/>
        </w:rPr>
      </w:pPr>
    </w:p>
    <w:p w14:paraId="2BB6197F" w14:textId="77777777" w:rsidR="00040679" w:rsidRPr="006B5F03" w:rsidRDefault="0027548F" w:rsidP="00F20FA7">
      <w:pPr>
        <w:jc w:val="both"/>
        <w:rPr>
          <w:rFonts w:cs="Arial"/>
        </w:rPr>
      </w:pPr>
      <w:r w:rsidRPr="006B5F03">
        <w:rPr>
          <w:rFonts w:cs="Arial"/>
        </w:rPr>
        <w:t xml:space="preserve">Any appropriate </w:t>
      </w:r>
      <w:r w:rsidR="00040679" w:rsidRPr="006B5F03">
        <w:rPr>
          <w:rFonts w:cs="Arial"/>
        </w:rPr>
        <w:t xml:space="preserve">guidance published by the Office for </w:t>
      </w:r>
      <w:proofErr w:type="gramStart"/>
      <w:r w:rsidR="00040679" w:rsidRPr="006B5F03">
        <w:rPr>
          <w:rFonts w:cs="Arial"/>
        </w:rPr>
        <w:t>Students</w:t>
      </w:r>
      <w:proofErr w:type="gramEnd"/>
      <w:r w:rsidR="00040679" w:rsidRPr="006B5F03">
        <w:rPr>
          <w:rFonts w:cs="Arial"/>
        </w:rPr>
        <w:t xml:space="preserve"> or the Office of the Independent Adjudicator for </w:t>
      </w:r>
      <w:r w:rsidR="00AD5903" w:rsidRPr="006B5F03">
        <w:rPr>
          <w:rFonts w:cs="Arial"/>
        </w:rPr>
        <w:t>H</w:t>
      </w:r>
      <w:r w:rsidR="00040679" w:rsidRPr="006B5F03">
        <w:rPr>
          <w:rFonts w:cs="Arial"/>
        </w:rPr>
        <w:t>igher Education would be consulted in preparing any such plans.</w:t>
      </w:r>
    </w:p>
    <w:p w14:paraId="03FCDE41" w14:textId="77777777" w:rsidR="003B677A" w:rsidRDefault="003B677A" w:rsidP="006B5F03">
      <w:pPr>
        <w:rPr>
          <w:rFonts w:cs="Arial"/>
          <w:b/>
        </w:rPr>
      </w:pPr>
    </w:p>
    <w:p w14:paraId="16E7112C" w14:textId="77777777" w:rsidR="00040679" w:rsidRPr="006B5F03" w:rsidRDefault="00040679" w:rsidP="008C0F36">
      <w:pPr>
        <w:pStyle w:val="Heading2"/>
      </w:pPr>
      <w:r w:rsidRPr="006B5F03">
        <w:t>U</w:t>
      </w:r>
      <w:r w:rsidR="008C0F36">
        <w:t xml:space="preserve">nexpected Non-continuation of Programmes </w:t>
      </w:r>
    </w:p>
    <w:p w14:paraId="398A893F" w14:textId="77777777" w:rsidR="007D645D" w:rsidRPr="006B5F03" w:rsidRDefault="007D645D" w:rsidP="006B5F03">
      <w:pPr>
        <w:rPr>
          <w:rFonts w:cs="Arial"/>
        </w:rPr>
      </w:pPr>
      <w:r w:rsidRPr="006B5F03">
        <w:rPr>
          <w:rFonts w:cs="Arial"/>
        </w:rPr>
        <w:t>Unexpected non-continuation (closure) could occur under two circumstances:</w:t>
      </w:r>
    </w:p>
    <w:p w14:paraId="12BFFB93" w14:textId="77777777" w:rsidR="007D645D" w:rsidRDefault="007D645D" w:rsidP="00F20FA7">
      <w:pPr>
        <w:pStyle w:val="BulletList1"/>
        <w:jc w:val="both"/>
      </w:pPr>
      <w:r>
        <w:t xml:space="preserve">An </w:t>
      </w:r>
      <w:r w:rsidRPr="007D645D">
        <w:rPr>
          <w:b/>
        </w:rPr>
        <w:t>unforeseen</w:t>
      </w:r>
      <w:r>
        <w:t xml:space="preserve"> sit</w:t>
      </w:r>
      <w:r w:rsidR="008065C9">
        <w:t>uation occurs which leaves the c</w:t>
      </w:r>
      <w:r>
        <w:t>ollege unable to offer a programme</w:t>
      </w:r>
      <w:r w:rsidR="006B5F03">
        <w:t>.</w:t>
      </w:r>
      <w:r>
        <w:t xml:space="preserve"> </w:t>
      </w:r>
    </w:p>
    <w:p w14:paraId="6A22E707" w14:textId="77777777" w:rsidR="007D645D" w:rsidRDefault="007D645D" w:rsidP="00F20FA7">
      <w:pPr>
        <w:pStyle w:val="BulletList1"/>
        <w:spacing w:after="0" w:afterAutospacing="0"/>
        <w:jc w:val="both"/>
      </w:pPr>
      <w:r>
        <w:t>Failure to recruit viable student numbers to a programme</w:t>
      </w:r>
      <w:r w:rsidR="006B5F03">
        <w:t>.</w:t>
      </w:r>
    </w:p>
    <w:p w14:paraId="5805F353" w14:textId="77777777" w:rsidR="008065C9" w:rsidRDefault="008065C9" w:rsidP="00F20FA7">
      <w:pPr>
        <w:jc w:val="both"/>
        <w:rPr>
          <w:rFonts w:cs="Arial"/>
          <w:b/>
        </w:rPr>
      </w:pPr>
    </w:p>
    <w:p w14:paraId="775493B0" w14:textId="77777777" w:rsidR="007D645D" w:rsidRPr="006B5F03" w:rsidRDefault="007D645D" w:rsidP="00F20FA7">
      <w:pPr>
        <w:pStyle w:val="Heading2"/>
        <w:jc w:val="both"/>
      </w:pPr>
      <w:r w:rsidRPr="006B5F03">
        <w:t>Enrolled Students</w:t>
      </w:r>
    </w:p>
    <w:p w14:paraId="02B2AD4B" w14:textId="77777777" w:rsidR="007D645D" w:rsidRDefault="007D645D" w:rsidP="00F20FA7">
      <w:pPr>
        <w:pStyle w:val="ListParagraph"/>
        <w:ind w:left="0"/>
        <w:jc w:val="both"/>
        <w:rPr>
          <w:rFonts w:cs="Arial"/>
        </w:rPr>
      </w:pPr>
      <w:r w:rsidRPr="007D645D">
        <w:rPr>
          <w:rFonts w:cs="Arial"/>
        </w:rPr>
        <w:t>In excep</w:t>
      </w:r>
      <w:r w:rsidR="008065C9">
        <w:rPr>
          <w:rFonts w:cs="Arial"/>
        </w:rPr>
        <w:t>tional circumstances where the c</w:t>
      </w:r>
      <w:r w:rsidRPr="007D645D">
        <w:rPr>
          <w:rFonts w:cs="Arial"/>
        </w:rPr>
        <w:t>ollege is unable to offer a programme and cannot permit enrolled students to complete their programme</w:t>
      </w:r>
      <w:r w:rsidR="008065C9">
        <w:rPr>
          <w:rFonts w:cs="Arial"/>
        </w:rPr>
        <w:t>, the c</w:t>
      </w:r>
      <w:r>
        <w:rPr>
          <w:rFonts w:cs="Arial"/>
        </w:rPr>
        <w:t>ollege will:</w:t>
      </w:r>
    </w:p>
    <w:p w14:paraId="1BAECE85" w14:textId="77777777" w:rsidR="005230EE" w:rsidRDefault="005230EE" w:rsidP="00F20FA7">
      <w:pPr>
        <w:pStyle w:val="BulletList1"/>
        <w:jc w:val="both"/>
      </w:pPr>
      <w:r w:rsidRPr="00901C28">
        <w:t xml:space="preserve">Consult with </w:t>
      </w:r>
      <w:r w:rsidRPr="0027548F">
        <w:rPr>
          <w:b/>
        </w:rPr>
        <w:t>all</w:t>
      </w:r>
      <w:r w:rsidRPr="00901C28">
        <w:t xml:space="preserve"> students at the earliest opportunity</w:t>
      </w:r>
      <w:r w:rsidR="00FC72D3">
        <w:t>.</w:t>
      </w:r>
    </w:p>
    <w:p w14:paraId="1C35879B" w14:textId="77777777" w:rsidR="005230EE" w:rsidRDefault="005230EE" w:rsidP="00F20FA7">
      <w:pPr>
        <w:pStyle w:val="BulletList1"/>
        <w:jc w:val="both"/>
      </w:pPr>
      <w:r>
        <w:t xml:space="preserve">Offer advice, </w:t>
      </w:r>
      <w:proofErr w:type="gramStart"/>
      <w:r>
        <w:t>support</w:t>
      </w:r>
      <w:proofErr w:type="gramEnd"/>
      <w:r>
        <w:t xml:space="preserve"> and guidance to assist </w:t>
      </w:r>
      <w:r w:rsidRPr="007D645D">
        <w:rPr>
          <w:b/>
        </w:rPr>
        <w:t>all</w:t>
      </w:r>
      <w:r>
        <w:t xml:space="preserve"> students in deciding whether to transfer to another pro</w:t>
      </w:r>
      <w:r w:rsidR="00AD5903">
        <w:t>gramme within the institution or</w:t>
      </w:r>
      <w:r>
        <w:t xml:space="preserve"> to transfer to an alternative provider</w:t>
      </w:r>
      <w:r w:rsidR="00FC72D3">
        <w:t>.</w:t>
      </w:r>
    </w:p>
    <w:p w14:paraId="4CA01422" w14:textId="77777777" w:rsidR="008065C9" w:rsidRDefault="005230EE" w:rsidP="00F20FA7">
      <w:pPr>
        <w:pStyle w:val="BulletList1"/>
        <w:jc w:val="both"/>
      </w:pPr>
      <w:r>
        <w:t xml:space="preserve">Implement, in consultation with the Students’ Union, a compensation </w:t>
      </w:r>
      <w:proofErr w:type="gramStart"/>
      <w:r>
        <w:t>plan</w:t>
      </w:r>
      <w:proofErr w:type="gramEnd"/>
      <w:r>
        <w:t xml:space="preserve"> relevant to the circumstances of the particular </w:t>
      </w:r>
      <w:r w:rsidR="00837031">
        <w:t>closure that</w:t>
      </w:r>
      <w:r>
        <w:t xml:space="preserve"> will include provision for compensation in respect to additional costs reasonabl</w:t>
      </w:r>
      <w:r w:rsidR="00AD5903">
        <w:t>y</w:t>
      </w:r>
      <w:r>
        <w:t xml:space="preserve"> incurred by students as a result of an</w:t>
      </w:r>
      <w:r w:rsidR="008065C9">
        <w:t>y relocation. This may include:</w:t>
      </w:r>
    </w:p>
    <w:p w14:paraId="3431397D" w14:textId="77777777" w:rsidR="005230EE" w:rsidRDefault="005230EE" w:rsidP="00F20FA7">
      <w:pPr>
        <w:pStyle w:val="BulletList2"/>
        <w:jc w:val="both"/>
      </w:pPr>
      <w:r>
        <w:t>Additional tuition costs</w:t>
      </w:r>
    </w:p>
    <w:p w14:paraId="5F7741C8" w14:textId="77777777" w:rsidR="005230EE" w:rsidRDefault="005230EE" w:rsidP="00F20FA7">
      <w:pPr>
        <w:pStyle w:val="BulletList2"/>
        <w:jc w:val="both"/>
      </w:pPr>
      <w:r>
        <w:t>Maintenance costs</w:t>
      </w:r>
    </w:p>
    <w:p w14:paraId="7D237988" w14:textId="77777777" w:rsidR="005230EE" w:rsidRDefault="005230EE" w:rsidP="00F20FA7">
      <w:pPr>
        <w:pStyle w:val="BulletList2"/>
        <w:jc w:val="both"/>
      </w:pPr>
      <w:r>
        <w:t xml:space="preserve">Additional Travel costs </w:t>
      </w:r>
    </w:p>
    <w:p w14:paraId="54FA5B7A" w14:textId="77777777" w:rsidR="005230EE" w:rsidRDefault="005230EE" w:rsidP="00F20FA7">
      <w:pPr>
        <w:pStyle w:val="BulletList2"/>
        <w:jc w:val="both"/>
      </w:pPr>
      <w:r>
        <w:t>Lost study time</w:t>
      </w:r>
    </w:p>
    <w:p w14:paraId="239447F1" w14:textId="77777777" w:rsidR="005230EE" w:rsidRDefault="005230EE" w:rsidP="00F20FA7">
      <w:pPr>
        <w:pStyle w:val="BulletList1"/>
        <w:jc w:val="both"/>
      </w:pPr>
      <w:r>
        <w:t>Ensure that any entitlement to a bursary will continue if the student transfers to another pro</w:t>
      </w:r>
      <w:r w:rsidR="00837031">
        <w:t xml:space="preserve">gramme or alternative </w:t>
      </w:r>
      <w:proofErr w:type="gramStart"/>
      <w:r w:rsidR="00837031">
        <w:t>provider</w:t>
      </w:r>
      <w:proofErr w:type="gramEnd"/>
    </w:p>
    <w:p w14:paraId="0A989C41" w14:textId="373E59BE" w:rsidR="005230EE" w:rsidRDefault="005230EE" w:rsidP="006B5F03">
      <w:pPr>
        <w:rPr>
          <w:rFonts w:cs="Arial"/>
          <w:b/>
        </w:rPr>
      </w:pPr>
      <w:r>
        <w:rPr>
          <w:rFonts w:cs="Arial"/>
          <w:b/>
        </w:rPr>
        <w:t>Please note this policy would only be implemented in extreme ci</w:t>
      </w:r>
      <w:r w:rsidR="00837031">
        <w:rPr>
          <w:rFonts w:cs="Arial"/>
          <w:b/>
        </w:rPr>
        <w:t xml:space="preserve">rcumstances. </w:t>
      </w:r>
    </w:p>
    <w:p w14:paraId="1BAF29D4" w14:textId="77777777" w:rsidR="0027548F" w:rsidRPr="006B5F03" w:rsidRDefault="0027548F" w:rsidP="008C0F36">
      <w:pPr>
        <w:pStyle w:val="Heading2"/>
      </w:pPr>
      <w:r w:rsidRPr="006B5F03">
        <w:lastRenderedPageBreak/>
        <w:t>Applicants</w:t>
      </w:r>
    </w:p>
    <w:p w14:paraId="29E4770B" w14:textId="77777777" w:rsidR="0027548F" w:rsidRDefault="0027548F" w:rsidP="00F20FA7">
      <w:pPr>
        <w:jc w:val="both"/>
        <w:rPr>
          <w:rFonts w:cs="Arial"/>
        </w:rPr>
      </w:pPr>
      <w:r w:rsidRPr="003B677A">
        <w:rPr>
          <w:rFonts w:cs="Arial"/>
        </w:rPr>
        <w:t>T</w:t>
      </w:r>
      <w:r w:rsidR="008065C9">
        <w:rPr>
          <w:rFonts w:cs="Arial"/>
        </w:rPr>
        <w:t>he c</w:t>
      </w:r>
      <w:r w:rsidRPr="003B677A">
        <w:rPr>
          <w:rFonts w:cs="Arial"/>
        </w:rPr>
        <w:t xml:space="preserve">ollege will ensure that all applicants </w:t>
      </w:r>
      <w:r>
        <w:rPr>
          <w:rFonts w:cs="Arial"/>
        </w:rPr>
        <w:t xml:space="preserve">to the effected programme are notified at the earliest opportunity and are offered advice, </w:t>
      </w:r>
      <w:proofErr w:type="gramStart"/>
      <w:r>
        <w:rPr>
          <w:rFonts w:cs="Arial"/>
        </w:rPr>
        <w:t>support</w:t>
      </w:r>
      <w:proofErr w:type="gramEnd"/>
      <w:r>
        <w:rPr>
          <w:rFonts w:cs="Arial"/>
        </w:rPr>
        <w:t xml:space="preserve"> and guidance to help them find a suita</w:t>
      </w:r>
      <w:r w:rsidR="008065C9">
        <w:rPr>
          <w:rFonts w:cs="Arial"/>
        </w:rPr>
        <w:t>ble alternative, either at the c</w:t>
      </w:r>
      <w:r>
        <w:rPr>
          <w:rFonts w:cs="Arial"/>
        </w:rPr>
        <w:t xml:space="preserve">ollege, or with an alternative provider. </w:t>
      </w:r>
    </w:p>
    <w:p w14:paraId="3CB7B058" w14:textId="77777777" w:rsidR="00D939C8" w:rsidRDefault="00D939C8" w:rsidP="00FC72D3">
      <w:pPr>
        <w:rPr>
          <w:rFonts w:cs="Arial"/>
          <w:b/>
        </w:rPr>
      </w:pPr>
    </w:p>
    <w:p w14:paraId="6DF50784" w14:textId="77777777" w:rsidR="005230EE" w:rsidRPr="006B5F03" w:rsidRDefault="008C0F36" w:rsidP="00FC72D3">
      <w:pPr>
        <w:pStyle w:val="Heading2"/>
      </w:pPr>
      <w:r>
        <w:t>Communication</w:t>
      </w:r>
    </w:p>
    <w:p w14:paraId="6C2E5434" w14:textId="77777777" w:rsidR="00D939C8" w:rsidRDefault="00D939C8" w:rsidP="00F20FA7">
      <w:pPr>
        <w:pStyle w:val="BulletList1"/>
        <w:jc w:val="both"/>
      </w:pPr>
      <w:r w:rsidRPr="00D939C8">
        <w:t>This policy will be reviewe</w:t>
      </w:r>
      <w:r w:rsidR="008065C9">
        <w:t xml:space="preserve">d annually </w:t>
      </w:r>
      <w:r w:rsidR="000C13A0">
        <w:t>via scheduled c</w:t>
      </w:r>
      <w:r w:rsidR="000C13A0" w:rsidRPr="000C13A0">
        <w:t>ollege meetings</w:t>
      </w:r>
      <w:r w:rsidR="000C13A0">
        <w:t xml:space="preserve"> </w:t>
      </w:r>
      <w:r w:rsidR="008065C9">
        <w:t>and approved by the c</w:t>
      </w:r>
      <w:r w:rsidRPr="00D939C8">
        <w:t xml:space="preserve">ollege Senior Management Team. </w:t>
      </w:r>
    </w:p>
    <w:p w14:paraId="48613578" w14:textId="77777777" w:rsidR="00D939C8" w:rsidRDefault="00D939C8" w:rsidP="00F20FA7">
      <w:pPr>
        <w:pStyle w:val="BulletList1"/>
        <w:jc w:val="both"/>
      </w:pPr>
      <w:r w:rsidRPr="00D939C8">
        <w:t>The review process will involve student consultation.</w:t>
      </w:r>
    </w:p>
    <w:p w14:paraId="544D09B2" w14:textId="77777777" w:rsidR="005230EE" w:rsidRDefault="00D939C8" w:rsidP="00F20FA7">
      <w:pPr>
        <w:pStyle w:val="BulletList1"/>
        <w:jc w:val="both"/>
      </w:pPr>
      <w:r w:rsidRPr="00D939C8">
        <w:t>This p</w:t>
      </w:r>
      <w:r w:rsidR="008065C9">
        <w:t>olicy will be published on the c</w:t>
      </w:r>
      <w:r w:rsidRPr="00D939C8">
        <w:t>ollege website and intranet.</w:t>
      </w:r>
    </w:p>
    <w:p w14:paraId="2A79C7FC" w14:textId="77777777" w:rsidR="00D939C8" w:rsidRDefault="00D939C8" w:rsidP="00F20FA7">
      <w:pPr>
        <w:pStyle w:val="BulletList1"/>
        <w:jc w:val="both"/>
      </w:pPr>
      <w:r w:rsidRPr="00D939C8">
        <w:t>The College Offer letter will signpost applicants to this policy.</w:t>
      </w:r>
    </w:p>
    <w:p w14:paraId="1CF9CB9E" w14:textId="77777777" w:rsidR="005D760E" w:rsidRPr="008C0F36" w:rsidRDefault="00D939C8" w:rsidP="00F20FA7">
      <w:pPr>
        <w:pStyle w:val="BulletList1"/>
        <w:spacing w:after="0" w:afterAutospacing="0"/>
        <w:jc w:val="both"/>
        <w:rPr>
          <w:b/>
        </w:rPr>
      </w:pPr>
      <w:r w:rsidRPr="006B5F03">
        <w:t>College staff will receive annual updating.</w:t>
      </w:r>
    </w:p>
    <w:p w14:paraId="3605214C" w14:textId="77777777" w:rsidR="00FC72D3" w:rsidRDefault="00FC72D3" w:rsidP="008C0F36">
      <w:pPr>
        <w:pStyle w:val="Heading2"/>
      </w:pPr>
    </w:p>
    <w:p w14:paraId="7DDB4396" w14:textId="77777777" w:rsidR="0058482A" w:rsidRPr="005D760E" w:rsidRDefault="0058482A" w:rsidP="008C0F36">
      <w:pPr>
        <w:pStyle w:val="Heading2"/>
      </w:pPr>
      <w:r w:rsidRPr="005D760E">
        <w:t>E</w:t>
      </w:r>
      <w:r w:rsidR="008C0F36">
        <w:t xml:space="preserve">xternal Reference </w:t>
      </w:r>
    </w:p>
    <w:p w14:paraId="5FBCCFAB" w14:textId="77777777" w:rsidR="0058482A" w:rsidRPr="006B5F03" w:rsidRDefault="0058482A" w:rsidP="006B5F03">
      <w:pPr>
        <w:rPr>
          <w:rFonts w:cs="Arial"/>
        </w:rPr>
      </w:pPr>
      <w:r w:rsidRPr="006B5F03">
        <w:rPr>
          <w:rFonts w:cs="Arial"/>
        </w:rPr>
        <w:t>This policy has been designed with consideration of the following guidance:</w:t>
      </w:r>
    </w:p>
    <w:p w14:paraId="6977CED3" w14:textId="0357F0A6" w:rsidR="0058482A" w:rsidRPr="005D760E" w:rsidRDefault="00000000" w:rsidP="006B5F03">
      <w:pPr>
        <w:ind w:left="284"/>
        <w:rPr>
          <w:rFonts w:cs="Arial"/>
          <w:b/>
        </w:rPr>
      </w:pPr>
      <w:hyperlink r:id="rId9" w:history="1">
        <w:r w:rsidR="0058482A" w:rsidRPr="005D760E">
          <w:rPr>
            <w:rStyle w:val="Hyperlink"/>
            <w:rFonts w:cs="Arial"/>
          </w:rPr>
          <w:t>Office for Students Regulatory Advice 2: Registration of current providers for 2019-2020</w:t>
        </w:r>
      </w:hyperlink>
    </w:p>
    <w:p w14:paraId="34467096" w14:textId="77777777" w:rsidR="008065C9" w:rsidRDefault="008065C9" w:rsidP="006B5F03">
      <w:pPr>
        <w:rPr>
          <w:rFonts w:cs="Arial"/>
        </w:rPr>
      </w:pPr>
    </w:p>
    <w:p w14:paraId="0D59EE9B" w14:textId="77777777" w:rsidR="0058482A" w:rsidRPr="005D760E" w:rsidRDefault="0058482A" w:rsidP="006B5F03">
      <w:pPr>
        <w:rPr>
          <w:rFonts w:cs="Arial"/>
        </w:rPr>
      </w:pPr>
      <w:r w:rsidRPr="005D760E">
        <w:rPr>
          <w:rFonts w:cs="Arial"/>
        </w:rPr>
        <w:t>This policy has been designed with consideration of the following guidance:</w:t>
      </w:r>
    </w:p>
    <w:p w14:paraId="4E23680E" w14:textId="7E1D75A9" w:rsidR="0058482A" w:rsidRPr="00F20FA7" w:rsidRDefault="00F20FA7" w:rsidP="006B5F03">
      <w:pPr>
        <w:ind w:firstLine="360"/>
        <w:rPr>
          <w:rStyle w:val="Hyperlink"/>
          <w:rFonts w:cs="Arial"/>
        </w:rPr>
      </w:pPr>
      <w:r>
        <w:rPr>
          <w:rFonts w:cs="Arial"/>
        </w:rPr>
        <w:fldChar w:fldCharType="begin"/>
      </w:r>
      <w:r w:rsidR="002627A2">
        <w:rPr>
          <w:rFonts w:cs="Arial"/>
        </w:rPr>
        <w:instrText>HYPERLINK "https://www.guildhe.ac.uk/wp-content/uploads/2015/11/Statement-of-good-practice-Nov15.pdf"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58482A" w:rsidRPr="00F20FA7">
        <w:rPr>
          <w:rStyle w:val="Hyperlink"/>
          <w:rFonts w:cs="Arial"/>
        </w:rPr>
        <w:t>Higher Education course changes and closures: statement of good practice</w:t>
      </w:r>
    </w:p>
    <w:p w14:paraId="3F5BC052" w14:textId="0205CF9E" w:rsidR="0058482A" w:rsidRDefault="00F20FA7" w:rsidP="006B5F03">
      <w:pPr>
        <w:ind w:left="360"/>
        <w:rPr>
          <w:rStyle w:val="Hyperlink"/>
          <w:rFonts w:cs="Arial"/>
          <w:shd w:val="clear" w:color="auto" w:fill="FFFFFF"/>
        </w:rPr>
      </w:pPr>
      <w:r>
        <w:rPr>
          <w:rFonts w:cs="Arial"/>
        </w:rPr>
        <w:fldChar w:fldCharType="end"/>
      </w:r>
      <w:r w:rsidR="0058482A" w:rsidRPr="005D760E">
        <w:rPr>
          <w:rFonts w:cs="Arial"/>
          <w:shd w:val="clear" w:color="auto" w:fill="FFFFFF"/>
        </w:rPr>
        <w:t xml:space="preserve">The Competition and Markets Authority- </w:t>
      </w:r>
      <w:hyperlink r:id="rId10" w:history="1">
        <w:r w:rsidR="0058482A" w:rsidRPr="005D760E">
          <w:rPr>
            <w:rStyle w:val="Hyperlink"/>
            <w:rFonts w:cs="Arial"/>
            <w:shd w:val="clear" w:color="auto" w:fill="FFFFFF"/>
          </w:rPr>
          <w:t>Higher Education Consumer Law Advice for Providers and Students</w:t>
        </w:r>
      </w:hyperlink>
    </w:p>
    <w:p w14:paraId="3DEDDE75" w14:textId="77777777" w:rsidR="0030024A" w:rsidRDefault="0030024A" w:rsidP="006B5F03">
      <w:pPr>
        <w:pStyle w:val="Heading1"/>
        <w:rPr>
          <w:rFonts w:eastAsia="Times New Roman"/>
        </w:rPr>
      </w:pPr>
    </w:p>
    <w:p w14:paraId="697C1215" w14:textId="77777777" w:rsidR="0030024A" w:rsidRPr="00F17C1E" w:rsidRDefault="0030024A" w:rsidP="006B5F03"/>
    <w:p w14:paraId="57CE98D4" w14:textId="77777777" w:rsidR="0030024A" w:rsidRPr="009D1F31" w:rsidRDefault="0030024A" w:rsidP="006B5F03">
      <w:pPr>
        <w:pStyle w:val="Heading1"/>
        <w:rPr>
          <w:rFonts w:eastAsia="Times New Roman"/>
        </w:rPr>
      </w:pPr>
      <w:r>
        <w:rPr>
          <w:rFonts w:eastAsia="Times New Roman"/>
        </w:rPr>
        <w:t>EQUALITY AND DIVERSITY</w:t>
      </w:r>
    </w:p>
    <w:p w14:paraId="2BC9D7C1" w14:textId="77777777" w:rsidR="0030024A" w:rsidRPr="002C2625" w:rsidRDefault="0030024A" w:rsidP="006B5F03">
      <w:pPr>
        <w:rPr>
          <w:rFonts w:cs="Arial"/>
        </w:rPr>
      </w:pPr>
      <w:r w:rsidRPr="002C2625">
        <w:rPr>
          <w:rFonts w:cs="Arial"/>
        </w:rPr>
        <w:t xml:space="preserve">An </w:t>
      </w:r>
      <w:proofErr w:type="spellStart"/>
      <w:r w:rsidRPr="002C2625">
        <w:rPr>
          <w:rFonts w:cs="Arial"/>
        </w:rPr>
        <w:t>EqIA</w:t>
      </w:r>
      <w:proofErr w:type="spellEnd"/>
      <w:r w:rsidRPr="002C2625">
        <w:rPr>
          <w:rFonts w:cs="Arial"/>
        </w:rPr>
        <w:t xml:space="preserve"> is not required for this policy.</w:t>
      </w:r>
    </w:p>
    <w:p w14:paraId="7966DFAD" w14:textId="77777777" w:rsidR="0030024A" w:rsidRDefault="0030024A" w:rsidP="006B5F03">
      <w:pPr>
        <w:rPr>
          <w:rFonts w:eastAsia="Times New Roman"/>
        </w:rPr>
      </w:pPr>
    </w:p>
    <w:p w14:paraId="7A9FE482" w14:textId="77777777" w:rsidR="0030024A" w:rsidRDefault="0030024A" w:rsidP="006B5F03">
      <w:pPr>
        <w:rPr>
          <w:rFonts w:eastAsia="Times New Roman"/>
        </w:rPr>
      </w:pPr>
    </w:p>
    <w:p w14:paraId="630E4862" w14:textId="77777777" w:rsidR="0030024A" w:rsidRPr="009D1F31" w:rsidRDefault="0030024A" w:rsidP="006B5F03">
      <w:pPr>
        <w:pStyle w:val="Heading1"/>
        <w:rPr>
          <w:rFonts w:eastAsia="Times New Roman"/>
        </w:rPr>
      </w:pPr>
      <w:r>
        <w:rPr>
          <w:rFonts w:eastAsia="Times New Roman"/>
        </w:rPr>
        <w:t>LINKED POLICIES AND PROCEDURES</w:t>
      </w:r>
    </w:p>
    <w:p w14:paraId="35FBCCDE" w14:textId="77777777" w:rsidR="0030024A" w:rsidRPr="008C0F36" w:rsidRDefault="0030024A" w:rsidP="00F20FA7">
      <w:pPr>
        <w:pStyle w:val="BulletList1"/>
        <w:spacing w:before="0" w:after="0" w:afterAutospacing="0"/>
      </w:pPr>
      <w:r w:rsidRPr="008C0F36">
        <w:t>Barnsley College Higher Education Terms and Conditions</w:t>
      </w:r>
      <w:r w:rsidR="00327939" w:rsidRPr="008C0F36">
        <w:t>.</w:t>
      </w:r>
      <w:r w:rsidRPr="008C0F36">
        <w:t xml:space="preserve"> </w:t>
      </w:r>
    </w:p>
    <w:p w14:paraId="17EF1E64" w14:textId="77777777" w:rsidR="0030024A" w:rsidRPr="008C0F36" w:rsidRDefault="0030024A" w:rsidP="00F20FA7">
      <w:pPr>
        <w:pStyle w:val="BulletList1"/>
        <w:spacing w:before="0" w:after="0" w:afterAutospacing="0"/>
      </w:pPr>
      <w:r w:rsidRPr="008C0F36">
        <w:t>Barnsley College Student Protection Plan</w:t>
      </w:r>
      <w:r w:rsidR="00327939" w:rsidRPr="008C0F36">
        <w:t>.</w:t>
      </w:r>
      <w:r w:rsidRPr="008C0F36">
        <w:t xml:space="preserve"> </w:t>
      </w:r>
    </w:p>
    <w:p w14:paraId="4B6DAF94" w14:textId="77777777" w:rsidR="0030024A" w:rsidRPr="008C0F36" w:rsidRDefault="0030024A" w:rsidP="00F20FA7">
      <w:pPr>
        <w:pStyle w:val="BulletList1"/>
        <w:spacing w:before="0" w:after="0" w:afterAutospacing="0"/>
      </w:pPr>
      <w:r w:rsidRPr="008C0F36">
        <w:t>Barnsley College Higher Education Course Changes and Closure Policy</w:t>
      </w:r>
      <w:r w:rsidR="00327939" w:rsidRPr="008C0F36">
        <w:t>.</w:t>
      </w:r>
      <w:r w:rsidRPr="008C0F36">
        <w:t xml:space="preserve"> </w:t>
      </w:r>
    </w:p>
    <w:p w14:paraId="49F5A505" w14:textId="77777777" w:rsidR="0030024A" w:rsidRPr="008C0F36" w:rsidRDefault="0030024A" w:rsidP="00F20FA7">
      <w:pPr>
        <w:pStyle w:val="BulletList1"/>
        <w:spacing w:before="0" w:after="0" w:afterAutospacing="0"/>
      </w:pPr>
      <w:r w:rsidRPr="008C0F36">
        <w:t>Barnsley College Complaint</w:t>
      </w:r>
      <w:r w:rsidR="007C734B">
        <w:t>s</w:t>
      </w:r>
      <w:r w:rsidRPr="008C0F36">
        <w:t xml:space="preserve"> Policy and Procedure</w:t>
      </w:r>
      <w:r w:rsidR="00327939" w:rsidRPr="008C0F36">
        <w:t>.</w:t>
      </w:r>
      <w:r w:rsidRPr="008C0F36">
        <w:t xml:space="preserve"> </w:t>
      </w:r>
    </w:p>
    <w:p w14:paraId="6FC88C00" w14:textId="77777777" w:rsidR="0030024A" w:rsidRDefault="0030024A" w:rsidP="006B5F03">
      <w:pPr>
        <w:pStyle w:val="Heading1"/>
        <w:rPr>
          <w:rFonts w:eastAsia="Times New Roman"/>
        </w:rPr>
      </w:pPr>
    </w:p>
    <w:p w14:paraId="7BAFDE5F" w14:textId="77777777" w:rsidR="0030024A" w:rsidRPr="0030024A" w:rsidRDefault="0030024A" w:rsidP="006B5F03"/>
    <w:p w14:paraId="24F2E4D0" w14:textId="77777777" w:rsidR="0030024A" w:rsidRPr="00761554" w:rsidRDefault="0030024A" w:rsidP="006B5F03">
      <w:pPr>
        <w:rPr>
          <w:rFonts w:cs="Arial"/>
        </w:rPr>
      </w:pPr>
    </w:p>
    <w:sectPr w:rsidR="0030024A" w:rsidRPr="00761554" w:rsidSect="00574904">
      <w:head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2EA4" w14:textId="77777777" w:rsidR="00FD6BE4" w:rsidRDefault="00FD6BE4" w:rsidP="00E275F0">
      <w:r>
        <w:separator/>
      </w:r>
    </w:p>
  </w:endnote>
  <w:endnote w:type="continuationSeparator" w:id="0">
    <w:p w14:paraId="1F320EF5" w14:textId="77777777" w:rsidR="00FD6BE4" w:rsidRDefault="00FD6BE4" w:rsidP="00E2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F223" w14:textId="77777777" w:rsidR="00FD6BE4" w:rsidRDefault="00FD6BE4" w:rsidP="00E275F0">
      <w:r>
        <w:separator/>
      </w:r>
    </w:p>
  </w:footnote>
  <w:footnote w:type="continuationSeparator" w:id="0">
    <w:p w14:paraId="1CC0D978" w14:textId="77777777" w:rsidR="00FD6BE4" w:rsidRDefault="00FD6BE4" w:rsidP="00E2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9FF0" w14:textId="77777777" w:rsidR="00E275F0" w:rsidRDefault="00E275F0" w:rsidP="00E275F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7EFB" w14:textId="4BEBE156" w:rsidR="00E275F0" w:rsidRDefault="00050579" w:rsidP="00574904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CEA438" wp14:editId="48FBE45A">
          <wp:simplePos x="0" y="0"/>
          <wp:positionH relativeFrom="column">
            <wp:posOffset>3352800</wp:posOffset>
          </wp:positionH>
          <wp:positionV relativeFrom="paragraph">
            <wp:posOffset>41910</wp:posOffset>
          </wp:positionV>
          <wp:extent cx="2247900" cy="539750"/>
          <wp:effectExtent l="0" t="0" r="0" b="0"/>
          <wp:wrapSquare wrapText="bothSides"/>
          <wp:docPr id="11" name="Picture 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DF7">
      <w:rPr>
        <w:noProof/>
        <w:lang w:eastAsia="en-GB"/>
      </w:rPr>
      <w:drawing>
        <wp:inline distT="0" distB="0" distL="0" distR="0" wp14:anchorId="392F6B87" wp14:editId="2A54F721">
          <wp:extent cx="2524125" cy="73342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9D0"/>
    <w:multiLevelType w:val="hybridMultilevel"/>
    <w:tmpl w:val="7A5475D2"/>
    <w:lvl w:ilvl="0" w:tplc="08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 w15:restartNumberingAfterBreak="0">
    <w:nsid w:val="09B04BDC"/>
    <w:multiLevelType w:val="hybridMultilevel"/>
    <w:tmpl w:val="FB3A9A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927D9"/>
    <w:multiLevelType w:val="hybridMultilevel"/>
    <w:tmpl w:val="AE1E2E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0058AD"/>
    <w:multiLevelType w:val="hybridMultilevel"/>
    <w:tmpl w:val="53EE6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76B1"/>
    <w:multiLevelType w:val="hybridMultilevel"/>
    <w:tmpl w:val="1CF07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31198"/>
    <w:multiLevelType w:val="hybridMultilevel"/>
    <w:tmpl w:val="06C65CBA"/>
    <w:lvl w:ilvl="0" w:tplc="D8F4A2BA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" w15:restartNumberingAfterBreak="0">
    <w:nsid w:val="127003D4"/>
    <w:multiLevelType w:val="hybridMultilevel"/>
    <w:tmpl w:val="29249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F2F6E"/>
    <w:multiLevelType w:val="multilevel"/>
    <w:tmpl w:val="76F293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BC3DFA"/>
    <w:multiLevelType w:val="hybridMultilevel"/>
    <w:tmpl w:val="AEF0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E132E"/>
    <w:multiLevelType w:val="hybridMultilevel"/>
    <w:tmpl w:val="597EC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D1EDD"/>
    <w:multiLevelType w:val="hybridMultilevel"/>
    <w:tmpl w:val="871CB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80550"/>
    <w:multiLevelType w:val="hybridMultilevel"/>
    <w:tmpl w:val="DD2C79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2852C2"/>
    <w:multiLevelType w:val="hybridMultilevel"/>
    <w:tmpl w:val="4E928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86391"/>
    <w:multiLevelType w:val="hybridMultilevel"/>
    <w:tmpl w:val="D81093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B22B7A"/>
    <w:multiLevelType w:val="multilevel"/>
    <w:tmpl w:val="BE5416CE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E537F2"/>
    <w:multiLevelType w:val="hybridMultilevel"/>
    <w:tmpl w:val="B62C362C"/>
    <w:lvl w:ilvl="0" w:tplc="3F868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01936"/>
    <w:multiLevelType w:val="hybridMultilevel"/>
    <w:tmpl w:val="82F6AE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AE39B0"/>
    <w:multiLevelType w:val="hybridMultilevel"/>
    <w:tmpl w:val="BFCA5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E2C39"/>
    <w:multiLevelType w:val="hybridMultilevel"/>
    <w:tmpl w:val="AAA2BE9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415D17"/>
    <w:multiLevelType w:val="hybridMultilevel"/>
    <w:tmpl w:val="30CA3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C4825"/>
    <w:multiLevelType w:val="hybridMultilevel"/>
    <w:tmpl w:val="D6AC365E"/>
    <w:lvl w:ilvl="0" w:tplc="33B65C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6011D"/>
    <w:multiLevelType w:val="hybridMultilevel"/>
    <w:tmpl w:val="AA6C6F52"/>
    <w:lvl w:ilvl="0" w:tplc="08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5" w15:restartNumberingAfterBreak="0">
    <w:nsid w:val="43D63AEF"/>
    <w:multiLevelType w:val="hybridMultilevel"/>
    <w:tmpl w:val="42F632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FC6629"/>
    <w:multiLevelType w:val="hybridMultilevel"/>
    <w:tmpl w:val="F82EA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05A82"/>
    <w:multiLevelType w:val="hybridMultilevel"/>
    <w:tmpl w:val="575CF6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42BB4"/>
    <w:multiLevelType w:val="multilevel"/>
    <w:tmpl w:val="AD066742"/>
    <w:lvl w:ilvl="0">
      <w:start w:val="1"/>
      <w:numFmt w:val="decimal"/>
      <w:lvlText w:val="%1"/>
      <w:lvlJc w:val="left"/>
      <w:pPr>
        <w:ind w:left="450" w:hanging="45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29" w15:restartNumberingAfterBreak="0">
    <w:nsid w:val="53BC1898"/>
    <w:multiLevelType w:val="hybridMultilevel"/>
    <w:tmpl w:val="6AF80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A5EE1"/>
    <w:multiLevelType w:val="hybridMultilevel"/>
    <w:tmpl w:val="2E0AC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853CD"/>
    <w:multiLevelType w:val="hybridMultilevel"/>
    <w:tmpl w:val="5A1A2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B2888"/>
    <w:multiLevelType w:val="hybridMultilevel"/>
    <w:tmpl w:val="36A02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16881"/>
    <w:multiLevelType w:val="multilevel"/>
    <w:tmpl w:val="1C2AB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C9B5E6F"/>
    <w:multiLevelType w:val="multilevel"/>
    <w:tmpl w:val="1110ED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835BA"/>
    <w:multiLevelType w:val="hybridMultilevel"/>
    <w:tmpl w:val="714AC510"/>
    <w:lvl w:ilvl="0" w:tplc="B0D21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424FC"/>
    <w:multiLevelType w:val="hybridMultilevel"/>
    <w:tmpl w:val="0524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320DB"/>
    <w:multiLevelType w:val="hybridMultilevel"/>
    <w:tmpl w:val="357418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8A0553"/>
    <w:multiLevelType w:val="hybridMultilevel"/>
    <w:tmpl w:val="DCCC1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87BC1"/>
    <w:multiLevelType w:val="hybridMultilevel"/>
    <w:tmpl w:val="CD7A3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F239B"/>
    <w:multiLevelType w:val="hybridMultilevel"/>
    <w:tmpl w:val="C6D0D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D471D"/>
    <w:multiLevelType w:val="hybridMultilevel"/>
    <w:tmpl w:val="EA903ABC"/>
    <w:lvl w:ilvl="0" w:tplc="08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3" w15:restartNumberingAfterBreak="0">
    <w:nsid w:val="75824FD1"/>
    <w:multiLevelType w:val="hybridMultilevel"/>
    <w:tmpl w:val="5A6E8096"/>
    <w:lvl w:ilvl="0" w:tplc="20444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6268FC"/>
    <w:multiLevelType w:val="hybridMultilevel"/>
    <w:tmpl w:val="CA70D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20F8C"/>
    <w:multiLevelType w:val="hybridMultilevel"/>
    <w:tmpl w:val="575CF6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935CE"/>
    <w:multiLevelType w:val="hybridMultilevel"/>
    <w:tmpl w:val="32CE9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535226">
    <w:abstractNumId w:val="22"/>
  </w:num>
  <w:num w:numId="2" w16cid:durableId="1078285536">
    <w:abstractNumId w:val="35"/>
  </w:num>
  <w:num w:numId="3" w16cid:durableId="921568227">
    <w:abstractNumId w:val="20"/>
  </w:num>
  <w:num w:numId="4" w16cid:durableId="171529624">
    <w:abstractNumId w:val="18"/>
  </w:num>
  <w:num w:numId="5" w16cid:durableId="81996965">
    <w:abstractNumId w:val="46"/>
  </w:num>
  <w:num w:numId="6" w16cid:durableId="1849055555">
    <w:abstractNumId w:val="8"/>
  </w:num>
  <w:num w:numId="7" w16cid:durableId="99953960">
    <w:abstractNumId w:val="16"/>
  </w:num>
  <w:num w:numId="8" w16cid:durableId="1527252139">
    <w:abstractNumId w:val="5"/>
  </w:num>
  <w:num w:numId="9" w16cid:durableId="556163939">
    <w:abstractNumId w:val="36"/>
  </w:num>
  <w:num w:numId="10" w16cid:durableId="1738279998">
    <w:abstractNumId w:val="0"/>
  </w:num>
  <w:num w:numId="11" w16cid:durableId="1991862270">
    <w:abstractNumId w:val="42"/>
  </w:num>
  <w:num w:numId="12" w16cid:durableId="305087513">
    <w:abstractNumId w:val="24"/>
  </w:num>
  <w:num w:numId="13" w16cid:durableId="1090543436">
    <w:abstractNumId w:val="3"/>
  </w:num>
  <w:num w:numId="14" w16cid:durableId="665019737">
    <w:abstractNumId w:val="47"/>
  </w:num>
  <w:num w:numId="15" w16cid:durableId="687290647">
    <w:abstractNumId w:val="23"/>
  </w:num>
  <w:num w:numId="16" w16cid:durableId="1171291292">
    <w:abstractNumId w:val="31"/>
  </w:num>
  <w:num w:numId="17" w16cid:durableId="325590656">
    <w:abstractNumId w:val="21"/>
  </w:num>
  <w:num w:numId="18" w16cid:durableId="1628198426">
    <w:abstractNumId w:val="1"/>
  </w:num>
  <w:num w:numId="19" w16cid:durableId="76947387">
    <w:abstractNumId w:val="10"/>
  </w:num>
  <w:num w:numId="20" w16cid:durableId="2074884653">
    <w:abstractNumId w:val="38"/>
  </w:num>
  <w:num w:numId="21" w16cid:durableId="38668639">
    <w:abstractNumId w:val="41"/>
  </w:num>
  <w:num w:numId="22" w16cid:durableId="1202937798">
    <w:abstractNumId w:val="37"/>
  </w:num>
  <w:num w:numId="23" w16cid:durableId="530338159">
    <w:abstractNumId w:val="29"/>
  </w:num>
  <w:num w:numId="24" w16cid:durableId="1502623318">
    <w:abstractNumId w:val="28"/>
  </w:num>
  <w:num w:numId="25" w16cid:durableId="1556618330">
    <w:abstractNumId w:val="14"/>
  </w:num>
  <w:num w:numId="26" w16cid:durableId="1282690263">
    <w:abstractNumId w:val="6"/>
  </w:num>
  <w:num w:numId="27" w16cid:durableId="743796053">
    <w:abstractNumId w:val="15"/>
  </w:num>
  <w:num w:numId="28" w16cid:durableId="234435741">
    <w:abstractNumId w:val="9"/>
  </w:num>
  <w:num w:numId="29" w16cid:durableId="1386028497">
    <w:abstractNumId w:val="43"/>
  </w:num>
  <w:num w:numId="30" w16cid:durableId="548304288">
    <w:abstractNumId w:val="33"/>
  </w:num>
  <w:num w:numId="31" w16cid:durableId="1037465081">
    <w:abstractNumId w:val="17"/>
  </w:num>
  <w:num w:numId="32" w16cid:durableId="1489244003">
    <w:abstractNumId w:val="7"/>
  </w:num>
  <w:num w:numId="33" w16cid:durableId="657341234">
    <w:abstractNumId w:val="32"/>
  </w:num>
  <w:num w:numId="34" w16cid:durableId="1094060159">
    <w:abstractNumId w:val="11"/>
  </w:num>
  <w:num w:numId="35" w16cid:durableId="1761951156">
    <w:abstractNumId w:val="25"/>
  </w:num>
  <w:num w:numId="36" w16cid:durableId="438646780">
    <w:abstractNumId w:val="40"/>
  </w:num>
  <w:num w:numId="37" w16cid:durableId="722798550">
    <w:abstractNumId w:val="4"/>
  </w:num>
  <w:num w:numId="38" w16cid:durableId="1536891150">
    <w:abstractNumId w:val="19"/>
  </w:num>
  <w:num w:numId="39" w16cid:durableId="1290554321">
    <w:abstractNumId w:val="45"/>
  </w:num>
  <w:num w:numId="40" w16cid:durableId="1839231388">
    <w:abstractNumId w:val="27"/>
  </w:num>
  <w:num w:numId="41" w16cid:durableId="766996656">
    <w:abstractNumId w:val="13"/>
  </w:num>
  <w:num w:numId="42" w16cid:durableId="1347054222">
    <w:abstractNumId w:val="34"/>
  </w:num>
  <w:num w:numId="43" w16cid:durableId="748041101">
    <w:abstractNumId w:val="44"/>
  </w:num>
  <w:num w:numId="44" w16cid:durableId="36902945">
    <w:abstractNumId w:val="2"/>
  </w:num>
  <w:num w:numId="45" w16cid:durableId="942302198">
    <w:abstractNumId w:val="12"/>
  </w:num>
  <w:num w:numId="46" w16cid:durableId="1596784969">
    <w:abstractNumId w:val="26"/>
  </w:num>
  <w:num w:numId="47" w16cid:durableId="858086265">
    <w:abstractNumId w:val="39"/>
  </w:num>
  <w:num w:numId="48" w16cid:durableId="20814970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61"/>
    <w:rsid w:val="0001277C"/>
    <w:rsid w:val="00026AF9"/>
    <w:rsid w:val="00040679"/>
    <w:rsid w:val="00050579"/>
    <w:rsid w:val="00085433"/>
    <w:rsid w:val="00085EA7"/>
    <w:rsid w:val="00087FB1"/>
    <w:rsid w:val="000968C0"/>
    <w:rsid w:val="000A2F23"/>
    <w:rsid w:val="000B6C26"/>
    <w:rsid w:val="000C13A0"/>
    <w:rsid w:val="000D38B4"/>
    <w:rsid w:val="000D65D6"/>
    <w:rsid w:val="000E048E"/>
    <w:rsid w:val="000E4429"/>
    <w:rsid w:val="000F5B9E"/>
    <w:rsid w:val="00102DEB"/>
    <w:rsid w:val="00105E77"/>
    <w:rsid w:val="0012020F"/>
    <w:rsid w:val="00145325"/>
    <w:rsid w:val="0019480C"/>
    <w:rsid w:val="001B350F"/>
    <w:rsid w:val="001B56ED"/>
    <w:rsid w:val="001C566D"/>
    <w:rsid w:val="001D48DF"/>
    <w:rsid w:val="001E6898"/>
    <w:rsid w:val="001F5D10"/>
    <w:rsid w:val="00205257"/>
    <w:rsid w:val="0021182A"/>
    <w:rsid w:val="00232A64"/>
    <w:rsid w:val="00233DA4"/>
    <w:rsid w:val="00241176"/>
    <w:rsid w:val="00252F45"/>
    <w:rsid w:val="00255AC9"/>
    <w:rsid w:val="00255BFC"/>
    <w:rsid w:val="002627A2"/>
    <w:rsid w:val="0027548F"/>
    <w:rsid w:val="0029037C"/>
    <w:rsid w:val="002914D5"/>
    <w:rsid w:val="00297CBE"/>
    <w:rsid w:val="002C000F"/>
    <w:rsid w:val="002C2625"/>
    <w:rsid w:val="0030024A"/>
    <w:rsid w:val="0030196A"/>
    <w:rsid w:val="00303A2C"/>
    <w:rsid w:val="00317BC8"/>
    <w:rsid w:val="00322EB1"/>
    <w:rsid w:val="00327939"/>
    <w:rsid w:val="00343F38"/>
    <w:rsid w:val="003521F5"/>
    <w:rsid w:val="00363C46"/>
    <w:rsid w:val="003709D7"/>
    <w:rsid w:val="00375E65"/>
    <w:rsid w:val="00381ACA"/>
    <w:rsid w:val="00384581"/>
    <w:rsid w:val="00392D0A"/>
    <w:rsid w:val="003A22EC"/>
    <w:rsid w:val="003A2A54"/>
    <w:rsid w:val="003B4D6F"/>
    <w:rsid w:val="003B677A"/>
    <w:rsid w:val="003C0B27"/>
    <w:rsid w:val="003D0352"/>
    <w:rsid w:val="003D32F1"/>
    <w:rsid w:val="003D4AE2"/>
    <w:rsid w:val="003F1D03"/>
    <w:rsid w:val="004156EA"/>
    <w:rsid w:val="0042274E"/>
    <w:rsid w:val="00434024"/>
    <w:rsid w:val="004538DA"/>
    <w:rsid w:val="0045758E"/>
    <w:rsid w:val="00461602"/>
    <w:rsid w:val="00470560"/>
    <w:rsid w:val="00484F65"/>
    <w:rsid w:val="00497661"/>
    <w:rsid w:val="004B475C"/>
    <w:rsid w:val="004C6118"/>
    <w:rsid w:val="004D74E0"/>
    <w:rsid w:val="00501635"/>
    <w:rsid w:val="005230EE"/>
    <w:rsid w:val="00574904"/>
    <w:rsid w:val="0058482A"/>
    <w:rsid w:val="005D2A60"/>
    <w:rsid w:val="005D5EE5"/>
    <w:rsid w:val="005D760E"/>
    <w:rsid w:val="005D7FA8"/>
    <w:rsid w:val="005E6545"/>
    <w:rsid w:val="005E7FA7"/>
    <w:rsid w:val="00600CF8"/>
    <w:rsid w:val="00624A15"/>
    <w:rsid w:val="006308FA"/>
    <w:rsid w:val="006475B7"/>
    <w:rsid w:val="00653E66"/>
    <w:rsid w:val="0067401C"/>
    <w:rsid w:val="00681D69"/>
    <w:rsid w:val="00684F44"/>
    <w:rsid w:val="00690847"/>
    <w:rsid w:val="006A5898"/>
    <w:rsid w:val="006B5F03"/>
    <w:rsid w:val="006C0422"/>
    <w:rsid w:val="006F355A"/>
    <w:rsid w:val="006F61B6"/>
    <w:rsid w:val="00744A98"/>
    <w:rsid w:val="0074579A"/>
    <w:rsid w:val="00761554"/>
    <w:rsid w:val="00761C31"/>
    <w:rsid w:val="007622E2"/>
    <w:rsid w:val="007804FE"/>
    <w:rsid w:val="00783D21"/>
    <w:rsid w:val="007846C8"/>
    <w:rsid w:val="00786894"/>
    <w:rsid w:val="007A0287"/>
    <w:rsid w:val="007C734B"/>
    <w:rsid w:val="007D645D"/>
    <w:rsid w:val="007F4702"/>
    <w:rsid w:val="008030D8"/>
    <w:rsid w:val="008065C9"/>
    <w:rsid w:val="00812CD5"/>
    <w:rsid w:val="008271DB"/>
    <w:rsid w:val="00837031"/>
    <w:rsid w:val="008412DB"/>
    <w:rsid w:val="00853C91"/>
    <w:rsid w:val="00855A98"/>
    <w:rsid w:val="00870883"/>
    <w:rsid w:val="00870DF7"/>
    <w:rsid w:val="00877BFD"/>
    <w:rsid w:val="00881C39"/>
    <w:rsid w:val="00884A7F"/>
    <w:rsid w:val="008901A6"/>
    <w:rsid w:val="008948D0"/>
    <w:rsid w:val="008C0F36"/>
    <w:rsid w:val="008C2B92"/>
    <w:rsid w:val="008C3B5E"/>
    <w:rsid w:val="008D3E87"/>
    <w:rsid w:val="008E5837"/>
    <w:rsid w:val="00901C28"/>
    <w:rsid w:val="009218BC"/>
    <w:rsid w:val="00935024"/>
    <w:rsid w:val="00941E66"/>
    <w:rsid w:val="009A1E06"/>
    <w:rsid w:val="009A2C0D"/>
    <w:rsid w:val="009B494F"/>
    <w:rsid w:val="009B5456"/>
    <w:rsid w:val="009D1F31"/>
    <w:rsid w:val="009E10F2"/>
    <w:rsid w:val="009F0866"/>
    <w:rsid w:val="00A00037"/>
    <w:rsid w:val="00A10D86"/>
    <w:rsid w:val="00A1384E"/>
    <w:rsid w:val="00A153CD"/>
    <w:rsid w:val="00A1643E"/>
    <w:rsid w:val="00A54EA0"/>
    <w:rsid w:val="00A63E0B"/>
    <w:rsid w:val="00A839E8"/>
    <w:rsid w:val="00AC07D4"/>
    <w:rsid w:val="00AD3DC1"/>
    <w:rsid w:val="00AD5903"/>
    <w:rsid w:val="00B15841"/>
    <w:rsid w:val="00B24DF8"/>
    <w:rsid w:val="00B356D4"/>
    <w:rsid w:val="00B43A32"/>
    <w:rsid w:val="00B47E51"/>
    <w:rsid w:val="00BA10CF"/>
    <w:rsid w:val="00BA1AF3"/>
    <w:rsid w:val="00BA3E40"/>
    <w:rsid w:val="00BC1F15"/>
    <w:rsid w:val="00BC2DB4"/>
    <w:rsid w:val="00BE6753"/>
    <w:rsid w:val="00BF0F6E"/>
    <w:rsid w:val="00BF6489"/>
    <w:rsid w:val="00C0382B"/>
    <w:rsid w:val="00C12176"/>
    <w:rsid w:val="00C34CA8"/>
    <w:rsid w:val="00C42D32"/>
    <w:rsid w:val="00C51ED4"/>
    <w:rsid w:val="00CE4DE4"/>
    <w:rsid w:val="00CE7283"/>
    <w:rsid w:val="00CE78C6"/>
    <w:rsid w:val="00CE7D1E"/>
    <w:rsid w:val="00CF28CE"/>
    <w:rsid w:val="00D01EF5"/>
    <w:rsid w:val="00D07201"/>
    <w:rsid w:val="00D07C26"/>
    <w:rsid w:val="00D25B24"/>
    <w:rsid w:val="00D30B42"/>
    <w:rsid w:val="00D3310C"/>
    <w:rsid w:val="00D3573C"/>
    <w:rsid w:val="00D43F39"/>
    <w:rsid w:val="00D53E93"/>
    <w:rsid w:val="00D6195E"/>
    <w:rsid w:val="00D744C2"/>
    <w:rsid w:val="00D8422D"/>
    <w:rsid w:val="00D8580F"/>
    <w:rsid w:val="00D939C8"/>
    <w:rsid w:val="00DA41A9"/>
    <w:rsid w:val="00DC6B0B"/>
    <w:rsid w:val="00DE1960"/>
    <w:rsid w:val="00DE5388"/>
    <w:rsid w:val="00DE6CEC"/>
    <w:rsid w:val="00E124C6"/>
    <w:rsid w:val="00E27454"/>
    <w:rsid w:val="00E275F0"/>
    <w:rsid w:val="00E32388"/>
    <w:rsid w:val="00E3459B"/>
    <w:rsid w:val="00E455C7"/>
    <w:rsid w:val="00E672A2"/>
    <w:rsid w:val="00E71F92"/>
    <w:rsid w:val="00E914DD"/>
    <w:rsid w:val="00E978DA"/>
    <w:rsid w:val="00EB719D"/>
    <w:rsid w:val="00EF29C6"/>
    <w:rsid w:val="00EF6E20"/>
    <w:rsid w:val="00EF7C4D"/>
    <w:rsid w:val="00F14DC2"/>
    <w:rsid w:val="00F162A6"/>
    <w:rsid w:val="00F16DAC"/>
    <w:rsid w:val="00F17C1E"/>
    <w:rsid w:val="00F20FA7"/>
    <w:rsid w:val="00F31955"/>
    <w:rsid w:val="00F37BBA"/>
    <w:rsid w:val="00F7563C"/>
    <w:rsid w:val="00F81481"/>
    <w:rsid w:val="00FA62EB"/>
    <w:rsid w:val="00FB71B0"/>
    <w:rsid w:val="00FC72D3"/>
    <w:rsid w:val="00FD6BE4"/>
    <w:rsid w:val="00FF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0A10B"/>
  <w15:docId w15:val="{B0D5DC68-2846-49FF-983D-C72FE6A8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locked="1" w:semiHidden="1" w:uiPriority="9" w:unhideWhenUsed="1"/>
    <w:lsdException w:name="heading 4" w:locked="1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uiPriority="1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E27454"/>
    <w:pPr>
      <w:spacing w:after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outlineLvl w:val="0"/>
    </w:pPr>
    <w:rPr>
      <w:rFonts w:eastAsiaTheme="majorEastAsia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outlineLvl w:val="1"/>
    </w:pPr>
    <w:rPr>
      <w:rFonts w:eastAsia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/>
    </w:pPr>
    <w:rPr>
      <w:rFonts w:eastAsia="Times New Roman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D25B24"/>
    <w:pPr>
      <w:ind w:left="720"/>
      <w:contextualSpacing/>
    </w:pPr>
  </w:style>
  <w:style w:type="paragraph" w:customStyle="1" w:styleId="BulletList1">
    <w:name w:val="Bullet List 1"/>
    <w:basedOn w:val="ListParagraph"/>
    <w:link w:val="BulletList1Char"/>
    <w:uiPriority w:val="2"/>
    <w:qFormat/>
    <w:rsid w:val="00303A2C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03A2C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ind w:left="992" w:right="1809"/>
      <w:contextualSpacing/>
    </w:pPr>
    <w:rPr>
      <w:rFonts w:eastAsia="Times New Roman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/>
      <w:ind w:left="709" w:hanging="425"/>
    </w:pPr>
    <w:rPr>
      <w:rFonts w:eastAsia="Times New Roman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semiHidden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F0"/>
  </w:style>
  <w:style w:type="paragraph" w:styleId="Footer">
    <w:name w:val="footer"/>
    <w:basedOn w:val="Normal"/>
    <w:link w:val="Foot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F0"/>
  </w:style>
  <w:style w:type="character" w:styleId="Hyperlink">
    <w:name w:val="Hyperlink"/>
    <w:rsid w:val="003D32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D0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1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5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5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20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nsley.ac.uk/higher-education/higher-education-student-protection-pla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collections/higher-education-consumer-law-advice-for-providers-and-stud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fficeforstudents.org.uk/advice-and-guidance/regulation/the-regulatory-framework-for-higher-education-in-england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jones\AppData\Local\Microsoft\Windows\INetCache\Content.MSO\90E5BF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7AC0C-57DD-40BB-8CD2-F09DEF5A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90E5BF02</Template>
  <TotalTime>0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POLICY/PROCEDURE:	HIGHER EDUCATION refund and compensation (non-continuation) PO</vt:lpstr>
      <vt:lpstr>SCOPE AND PURPOSE</vt:lpstr>
      <vt:lpstr>    Planned Non-continuation of Programmes </vt:lpstr>
      <vt:lpstr>    </vt:lpstr>
      <vt:lpstr>    Enrolled Students</vt:lpstr>
      <vt:lpstr>    Unexpected Non-continuation of Programmes </vt:lpstr>
      <vt:lpstr>    Enrolled Students</vt:lpstr>
      <vt:lpstr>    Applicants</vt:lpstr>
      <vt:lpstr>    Communication</vt:lpstr>
      <vt:lpstr>    </vt:lpstr>
      <vt:lpstr>    External Reference </vt:lpstr>
      <vt:lpstr/>
      <vt:lpstr>EQUALITY AND DIVERSITY</vt:lpstr>
      <vt:lpstr>LINKED POLICIES AND PROCEDURES</vt:lpstr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Clarke</dc:creator>
  <cp:lastModifiedBy>Lauren Williams</cp:lastModifiedBy>
  <cp:revision>8</cp:revision>
  <dcterms:created xsi:type="dcterms:W3CDTF">2022-05-26T14:37:00Z</dcterms:created>
  <dcterms:modified xsi:type="dcterms:W3CDTF">2023-03-22T09:37:00Z</dcterms:modified>
</cp:coreProperties>
</file>