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26BD" w14:textId="77777777" w:rsidR="00DB1D12" w:rsidRDefault="00DB1D12" w:rsidP="00BA35AE">
      <w:pPr>
        <w:rPr>
          <w:b/>
          <w:bCs/>
          <w:color w:val="333333"/>
          <w:sz w:val="21"/>
          <w:szCs w:val="21"/>
          <w:lang w:val="en"/>
        </w:rPr>
      </w:pPr>
    </w:p>
    <w:p w14:paraId="1DB7F854" w14:textId="77777777" w:rsidR="00DB1D12" w:rsidRDefault="00DB1D12" w:rsidP="00BA35AE">
      <w:pPr>
        <w:rPr>
          <w:b/>
          <w:bCs/>
          <w:color w:val="333333"/>
          <w:sz w:val="21"/>
          <w:szCs w:val="21"/>
          <w:lang w:val="en"/>
        </w:rPr>
      </w:pPr>
    </w:p>
    <w:p w14:paraId="35BE75EC" w14:textId="77777777" w:rsidR="00DB1D12" w:rsidRDefault="00DB1D12" w:rsidP="00BA35AE">
      <w:pPr>
        <w:rPr>
          <w:b/>
          <w:bCs/>
          <w:color w:val="333333"/>
          <w:sz w:val="21"/>
          <w:szCs w:val="21"/>
          <w:lang w:val="en"/>
        </w:rPr>
      </w:pPr>
    </w:p>
    <w:p w14:paraId="66BEBC8B" w14:textId="77777777" w:rsidR="00DB1D12" w:rsidRDefault="00DB1D12" w:rsidP="00BA35AE">
      <w:pPr>
        <w:rPr>
          <w:b/>
          <w:bCs/>
          <w:color w:val="333333"/>
          <w:sz w:val="21"/>
          <w:szCs w:val="21"/>
          <w:lang w:val="en"/>
        </w:rPr>
      </w:pPr>
    </w:p>
    <w:p w14:paraId="3E540A38" w14:textId="77777777" w:rsidR="00DB1D12" w:rsidRDefault="00DB1D12" w:rsidP="00BA35AE">
      <w:pPr>
        <w:rPr>
          <w:b/>
          <w:bCs/>
          <w:color w:val="333333"/>
          <w:sz w:val="21"/>
          <w:szCs w:val="21"/>
          <w:lang w:val="en"/>
        </w:rPr>
      </w:pPr>
    </w:p>
    <w:p w14:paraId="3918EB7F" w14:textId="77777777" w:rsidR="00DB1D12" w:rsidRDefault="00DB1D12" w:rsidP="00BA35AE">
      <w:pPr>
        <w:rPr>
          <w:b/>
          <w:bCs/>
          <w:color w:val="333333"/>
          <w:sz w:val="21"/>
          <w:szCs w:val="21"/>
          <w:lang w:val="en"/>
        </w:rPr>
      </w:pPr>
    </w:p>
    <w:p w14:paraId="0C0F4939" w14:textId="77777777" w:rsidR="00DB1D12" w:rsidRDefault="00DB1D12" w:rsidP="00BA35AE">
      <w:pPr>
        <w:rPr>
          <w:b/>
          <w:bCs/>
          <w:color w:val="333333"/>
          <w:sz w:val="21"/>
          <w:szCs w:val="21"/>
          <w:lang w:val="en"/>
        </w:rPr>
      </w:pPr>
    </w:p>
    <w:p w14:paraId="4178BA44" w14:textId="77777777" w:rsidR="00DB1D12" w:rsidRDefault="00DB1D12" w:rsidP="00BA35AE">
      <w:pPr>
        <w:rPr>
          <w:b/>
          <w:bCs/>
          <w:color w:val="333333"/>
          <w:sz w:val="21"/>
          <w:szCs w:val="21"/>
          <w:lang w:val="en"/>
        </w:rPr>
      </w:pPr>
    </w:p>
    <w:p w14:paraId="4F8EA323" w14:textId="77777777" w:rsidR="00DB1D12" w:rsidRDefault="00DB1D12" w:rsidP="00BA35AE">
      <w:pPr>
        <w:rPr>
          <w:b/>
          <w:bCs/>
          <w:color w:val="333333"/>
          <w:sz w:val="21"/>
          <w:szCs w:val="21"/>
          <w:lang w:val="en"/>
        </w:rPr>
      </w:pPr>
    </w:p>
    <w:p w14:paraId="2E1546CA" w14:textId="77777777" w:rsidR="00DB1D12" w:rsidRDefault="00DB1D12" w:rsidP="00BA35AE">
      <w:pPr>
        <w:rPr>
          <w:b/>
          <w:bCs/>
          <w:color w:val="333333"/>
          <w:sz w:val="21"/>
          <w:szCs w:val="21"/>
          <w:lang w:val="en"/>
        </w:rPr>
      </w:pPr>
    </w:p>
    <w:p w14:paraId="01497B65" w14:textId="77777777" w:rsidR="00DB1D12" w:rsidRDefault="00DB1D12" w:rsidP="00BA35AE">
      <w:pPr>
        <w:rPr>
          <w:b/>
          <w:bCs/>
          <w:color w:val="333333"/>
          <w:sz w:val="21"/>
          <w:szCs w:val="21"/>
          <w:lang w:val="en"/>
        </w:rPr>
      </w:pPr>
    </w:p>
    <w:p w14:paraId="7B0F7428" w14:textId="77777777" w:rsidR="00DB1D12" w:rsidRDefault="00DB1D12" w:rsidP="00BA35AE">
      <w:pPr>
        <w:rPr>
          <w:b/>
          <w:bCs/>
          <w:color w:val="333333"/>
          <w:sz w:val="21"/>
          <w:szCs w:val="21"/>
          <w:lang w:val="en"/>
        </w:rPr>
      </w:pPr>
    </w:p>
    <w:p w14:paraId="1AE811A7" w14:textId="77777777" w:rsidR="00DB1D12" w:rsidRDefault="00DB1D12" w:rsidP="00BA35AE">
      <w:pPr>
        <w:rPr>
          <w:b/>
          <w:bCs/>
          <w:color w:val="333333"/>
          <w:sz w:val="21"/>
          <w:szCs w:val="21"/>
          <w:lang w:val="en"/>
        </w:rPr>
      </w:pPr>
    </w:p>
    <w:p w14:paraId="53FA0111" w14:textId="77777777" w:rsidR="00DB1D12" w:rsidRDefault="00DB1D12" w:rsidP="00BA35AE">
      <w:pPr>
        <w:rPr>
          <w:b/>
          <w:bCs/>
          <w:color w:val="333333"/>
          <w:sz w:val="21"/>
          <w:szCs w:val="21"/>
          <w:lang w:val="en"/>
        </w:rPr>
      </w:pPr>
    </w:p>
    <w:p w14:paraId="3907DB5E" w14:textId="77777777" w:rsidR="00DB1D12" w:rsidRDefault="00DB1D12" w:rsidP="00BA35AE">
      <w:pPr>
        <w:rPr>
          <w:b/>
          <w:bCs/>
          <w:color w:val="333333"/>
          <w:sz w:val="21"/>
          <w:szCs w:val="21"/>
          <w:lang w:val="en"/>
        </w:rPr>
      </w:pPr>
    </w:p>
    <w:p w14:paraId="7D777817" w14:textId="77777777" w:rsidR="00DB1D12" w:rsidRDefault="00DB1D12" w:rsidP="00BA35AE">
      <w:pPr>
        <w:rPr>
          <w:b/>
          <w:bCs/>
          <w:color w:val="333333"/>
          <w:sz w:val="21"/>
          <w:szCs w:val="21"/>
          <w:lang w:val="en"/>
        </w:rPr>
      </w:pPr>
    </w:p>
    <w:p w14:paraId="6B470D7A" w14:textId="77777777" w:rsidR="00DB1D12" w:rsidRDefault="00DB1D12" w:rsidP="00BA35AE">
      <w:pPr>
        <w:rPr>
          <w:b/>
          <w:bCs/>
          <w:color w:val="333333"/>
          <w:sz w:val="21"/>
          <w:szCs w:val="21"/>
          <w:lang w:val="en"/>
        </w:rPr>
      </w:pPr>
    </w:p>
    <w:p w14:paraId="1FDCFCBB" w14:textId="77777777" w:rsidR="00DB1D12" w:rsidRDefault="00DB1D12" w:rsidP="00BA35AE">
      <w:pPr>
        <w:rPr>
          <w:b/>
          <w:bCs/>
          <w:color w:val="333333"/>
          <w:sz w:val="21"/>
          <w:szCs w:val="21"/>
          <w:lang w:val="en"/>
        </w:rPr>
      </w:pPr>
    </w:p>
    <w:p w14:paraId="7BD84BB3" w14:textId="77777777" w:rsidR="00DB1D12" w:rsidRDefault="00DB1D12" w:rsidP="00BA35AE">
      <w:pPr>
        <w:rPr>
          <w:b/>
          <w:bCs/>
          <w:color w:val="333333"/>
          <w:sz w:val="21"/>
          <w:szCs w:val="21"/>
          <w:lang w:val="en"/>
        </w:rPr>
      </w:pPr>
    </w:p>
    <w:p w14:paraId="33DD13F4" w14:textId="77777777" w:rsidR="00DB1D12" w:rsidRDefault="00DB1D12" w:rsidP="00BA35AE">
      <w:pPr>
        <w:rPr>
          <w:b/>
          <w:bCs/>
          <w:color w:val="333333"/>
          <w:sz w:val="21"/>
          <w:szCs w:val="21"/>
          <w:lang w:val="en"/>
        </w:rPr>
      </w:pPr>
    </w:p>
    <w:p w14:paraId="43535048" w14:textId="77777777" w:rsidR="00DB1D12" w:rsidRDefault="00DB1D12" w:rsidP="00BA35AE">
      <w:pPr>
        <w:rPr>
          <w:b/>
          <w:bCs/>
          <w:color w:val="333333"/>
          <w:sz w:val="21"/>
          <w:szCs w:val="21"/>
          <w:lang w:val="en"/>
        </w:rPr>
      </w:pPr>
    </w:p>
    <w:p w14:paraId="6E3BAF6C" w14:textId="77777777" w:rsidR="00DB1D12" w:rsidRDefault="00DB1D12" w:rsidP="00BA35AE">
      <w:pPr>
        <w:rPr>
          <w:b/>
          <w:bCs/>
          <w:color w:val="333333"/>
          <w:sz w:val="21"/>
          <w:szCs w:val="21"/>
          <w:lang w:val="en"/>
        </w:rPr>
      </w:pPr>
    </w:p>
    <w:p w14:paraId="02C5B734" w14:textId="77777777" w:rsidR="00DB1D12" w:rsidRPr="00EA26EB" w:rsidRDefault="00DB1D12" w:rsidP="00BA35AE">
      <w:pPr>
        <w:rPr>
          <w:rFonts w:cs="Arial"/>
          <w:b/>
          <w:sz w:val="36"/>
          <w:szCs w:val="36"/>
        </w:rPr>
      </w:pPr>
      <w:r w:rsidRPr="00EA26EB">
        <w:rPr>
          <w:rFonts w:cs="Arial"/>
          <w:b/>
          <w:sz w:val="36"/>
          <w:szCs w:val="36"/>
        </w:rPr>
        <w:t>Barnsley College</w:t>
      </w:r>
    </w:p>
    <w:p w14:paraId="7611E7D5" w14:textId="61299EC1" w:rsidR="00DB1D12" w:rsidRPr="00B830F8" w:rsidRDefault="00DB1D12" w:rsidP="00BA35AE">
      <w:pPr>
        <w:rPr>
          <w:rFonts w:cs="Arial"/>
          <w:b/>
          <w:sz w:val="36"/>
          <w:szCs w:val="36"/>
        </w:rPr>
      </w:pPr>
      <w:r w:rsidRPr="00B830F8">
        <w:rPr>
          <w:rFonts w:cs="Arial"/>
          <w:b/>
          <w:sz w:val="36"/>
          <w:szCs w:val="36"/>
        </w:rPr>
        <w:t>Annual Equality</w:t>
      </w:r>
      <w:r w:rsidR="00182DA9">
        <w:rPr>
          <w:rFonts w:cs="Arial"/>
          <w:b/>
          <w:sz w:val="36"/>
          <w:szCs w:val="36"/>
        </w:rPr>
        <w:t xml:space="preserve">, </w:t>
      </w:r>
      <w:r w:rsidRPr="00B830F8">
        <w:rPr>
          <w:rFonts w:cs="Arial"/>
          <w:b/>
          <w:sz w:val="36"/>
          <w:szCs w:val="36"/>
        </w:rPr>
        <w:t>Diversity</w:t>
      </w:r>
      <w:r w:rsidR="00182DA9">
        <w:rPr>
          <w:rFonts w:cs="Arial"/>
          <w:b/>
          <w:sz w:val="36"/>
          <w:szCs w:val="36"/>
        </w:rPr>
        <w:t xml:space="preserve"> &amp; Inclusion</w:t>
      </w:r>
      <w:r w:rsidRPr="00B830F8">
        <w:rPr>
          <w:rFonts w:cs="Arial"/>
          <w:b/>
          <w:sz w:val="36"/>
          <w:szCs w:val="36"/>
        </w:rPr>
        <w:t xml:space="preserve"> Report</w:t>
      </w:r>
    </w:p>
    <w:p w14:paraId="27F7BB16" w14:textId="77777777" w:rsidR="00DB1D12" w:rsidRPr="00B830F8" w:rsidRDefault="007667CC" w:rsidP="00BA35AE">
      <w:pPr>
        <w:rPr>
          <w:rFonts w:cs="Arial"/>
          <w:b/>
          <w:sz w:val="36"/>
          <w:szCs w:val="36"/>
        </w:rPr>
      </w:pPr>
      <w:r>
        <w:rPr>
          <w:rFonts w:cs="Arial"/>
          <w:b/>
          <w:sz w:val="36"/>
          <w:szCs w:val="36"/>
        </w:rPr>
        <w:t>2021-22</w:t>
      </w:r>
    </w:p>
    <w:p w14:paraId="65D10A57" w14:textId="77777777" w:rsidR="00DB1D12" w:rsidRDefault="00DB1D12" w:rsidP="00BA35AE">
      <w:pPr>
        <w:spacing w:after="200"/>
        <w:rPr>
          <w:b/>
          <w:bCs/>
          <w:color w:val="333333"/>
          <w:sz w:val="21"/>
          <w:szCs w:val="21"/>
          <w:lang w:val="en"/>
        </w:rPr>
      </w:pPr>
    </w:p>
    <w:p w14:paraId="1F869329" w14:textId="77777777" w:rsidR="00DB1D12" w:rsidRDefault="00DB1D12" w:rsidP="00BA35AE">
      <w:pPr>
        <w:spacing w:after="200"/>
        <w:rPr>
          <w:b/>
          <w:bCs/>
          <w:color w:val="333333"/>
          <w:sz w:val="21"/>
          <w:szCs w:val="21"/>
          <w:lang w:val="en"/>
        </w:rPr>
      </w:pPr>
      <w:r>
        <w:rPr>
          <w:b/>
          <w:bCs/>
          <w:color w:val="333333"/>
          <w:sz w:val="21"/>
          <w:szCs w:val="21"/>
          <w:lang w:val="en"/>
        </w:rPr>
        <w:br w:type="page"/>
      </w:r>
    </w:p>
    <w:p w14:paraId="055C2F60" w14:textId="495FB5CA" w:rsidR="00661C57" w:rsidRPr="00A96E67" w:rsidRDefault="007667CC" w:rsidP="00EF69CE">
      <w:pPr>
        <w:rPr>
          <w:rFonts w:cs="Arial"/>
          <w:b/>
          <w:bCs/>
        </w:rPr>
      </w:pPr>
      <w:r w:rsidRPr="00A96E67">
        <w:rPr>
          <w:rFonts w:cs="Arial"/>
          <w:i/>
          <w:iCs/>
          <w:sz w:val="21"/>
          <w:szCs w:val="21"/>
          <w:shd w:val="clear" w:color="auto" w:fill="FFFFFF"/>
        </w:rPr>
        <w:lastRenderedPageBreak/>
        <w:t>“Every individual matters. Every individual has a role to play. Every individual makes a difference.”</w:t>
      </w:r>
      <w:r w:rsidRPr="00A96E67">
        <w:rPr>
          <w:rFonts w:cs="Arial"/>
          <w:sz w:val="21"/>
          <w:szCs w:val="21"/>
        </w:rPr>
        <w:br/>
      </w:r>
      <w:r w:rsidRPr="00A96E67">
        <w:rPr>
          <w:rFonts w:ascii="Courier New" w:hAnsi="Courier New" w:cs="Courier New"/>
          <w:sz w:val="21"/>
          <w:szCs w:val="21"/>
          <w:shd w:val="clear" w:color="auto" w:fill="FFFFFF"/>
        </w:rPr>
        <w:t>―</w:t>
      </w:r>
      <w:r w:rsidRPr="00A96E67">
        <w:rPr>
          <w:rFonts w:cs="FS Me"/>
          <w:sz w:val="21"/>
          <w:szCs w:val="21"/>
          <w:shd w:val="clear" w:color="auto" w:fill="FFFFFF"/>
        </w:rPr>
        <w:t> </w:t>
      </w:r>
      <w:r w:rsidRPr="00A96E67">
        <w:rPr>
          <w:rStyle w:val="authorortitle"/>
          <w:rFonts w:cs="Arial"/>
          <w:b/>
          <w:bCs/>
          <w:sz w:val="21"/>
          <w:szCs w:val="21"/>
          <w:shd w:val="clear" w:color="auto" w:fill="FFFFFF"/>
        </w:rPr>
        <w:t>Jane Goodall</w:t>
      </w:r>
      <w:r w:rsidR="00661C57" w:rsidRPr="00A96E67">
        <w:rPr>
          <w:rFonts w:cs="Arial"/>
        </w:rPr>
        <w:br/>
      </w:r>
    </w:p>
    <w:p w14:paraId="3C923BEF" w14:textId="77777777" w:rsidR="003073C1" w:rsidRPr="003073C1" w:rsidRDefault="003073C1" w:rsidP="00EF69CE">
      <w:pPr>
        <w:rPr>
          <w:rFonts w:eastAsia="Times New Roman" w:cstheme="minorHAnsi"/>
          <w:b/>
        </w:rPr>
      </w:pPr>
    </w:p>
    <w:p w14:paraId="5112134B" w14:textId="77777777" w:rsidR="00DB1D12" w:rsidRPr="003073C1" w:rsidRDefault="00DB1D12" w:rsidP="00EF69CE">
      <w:pPr>
        <w:pStyle w:val="Heading1"/>
        <w:rPr>
          <w:rFonts w:eastAsia="Times New Roman" w:cstheme="minorHAnsi"/>
        </w:rPr>
      </w:pPr>
      <w:r w:rsidRPr="003073C1">
        <w:rPr>
          <w:rFonts w:eastAsia="Times New Roman" w:cstheme="minorHAnsi"/>
        </w:rPr>
        <w:fldChar w:fldCharType="begin"/>
      </w:r>
      <w:r w:rsidRPr="003073C1">
        <w:rPr>
          <w:rFonts w:eastAsia="Times New Roman" w:cstheme="minorHAnsi"/>
        </w:rPr>
        <w:instrText xml:space="preserve"> TITLE </w:instrText>
      </w:r>
      <w:r w:rsidRPr="003073C1">
        <w:rPr>
          <w:rFonts w:eastAsia="Times New Roman" w:cstheme="minorHAnsi"/>
        </w:rPr>
        <w:fldChar w:fldCharType="end"/>
      </w:r>
      <w:r w:rsidRPr="003073C1">
        <w:rPr>
          <w:rFonts w:eastAsia="Times New Roman" w:cstheme="minorHAnsi"/>
        </w:rPr>
        <w:t>INTRODUCTION</w:t>
      </w:r>
    </w:p>
    <w:p w14:paraId="3D7B0B6C" w14:textId="77777777" w:rsidR="00DB1D12" w:rsidRPr="003073C1" w:rsidRDefault="00DB1D12" w:rsidP="00EF69CE">
      <w:pPr>
        <w:rPr>
          <w:rFonts w:eastAsia="Times New Roman" w:cstheme="minorHAnsi"/>
        </w:rPr>
      </w:pPr>
      <w:r w:rsidRPr="003073C1">
        <w:rPr>
          <w:rFonts w:eastAsia="Times New Roman" w:cstheme="minorHAnsi"/>
        </w:rPr>
        <w:t>Barnsley College is a vibrant and dynamic place that seeks to meet its statutory duties in a creative and forthright manner. The college creates an environment of respect and understanding, where everyone is an individual with</w:t>
      </w:r>
      <w:r w:rsidR="004D054F" w:rsidRPr="003073C1">
        <w:rPr>
          <w:rFonts w:eastAsia="Times New Roman" w:cstheme="minorHAnsi"/>
        </w:rPr>
        <w:t xml:space="preserve"> a </w:t>
      </w:r>
      <w:r w:rsidRPr="003073C1">
        <w:rPr>
          <w:rFonts w:eastAsia="Times New Roman" w:cstheme="minorHAnsi"/>
        </w:rPr>
        <w:t>unique</w:t>
      </w:r>
      <w:r w:rsidR="004D054F" w:rsidRPr="003073C1">
        <w:rPr>
          <w:rFonts w:eastAsia="Times New Roman" w:cstheme="minorHAnsi"/>
        </w:rPr>
        <w:t xml:space="preserve"> set of needs</w:t>
      </w:r>
      <w:r w:rsidRPr="003073C1">
        <w:rPr>
          <w:rFonts w:eastAsia="Times New Roman" w:cstheme="minorHAnsi"/>
        </w:rPr>
        <w:t xml:space="preserve"> and skills.</w:t>
      </w:r>
    </w:p>
    <w:p w14:paraId="34720CA5" w14:textId="77777777" w:rsidR="00BA35AE" w:rsidRPr="003073C1" w:rsidRDefault="00BA35AE" w:rsidP="00EF69CE">
      <w:pPr>
        <w:rPr>
          <w:rFonts w:eastAsia="Times New Roman" w:cstheme="minorHAnsi"/>
        </w:rPr>
      </w:pPr>
    </w:p>
    <w:p w14:paraId="165BEAB0" w14:textId="3586BB19" w:rsidR="00DB1D12" w:rsidRPr="003073C1" w:rsidRDefault="00DB1D12" w:rsidP="00EF69CE">
      <w:pPr>
        <w:rPr>
          <w:rFonts w:eastAsia="Times New Roman" w:cstheme="minorHAnsi"/>
        </w:rPr>
      </w:pPr>
      <w:r w:rsidRPr="003073C1">
        <w:rPr>
          <w:rFonts w:eastAsia="Times New Roman" w:cstheme="minorHAnsi"/>
        </w:rPr>
        <w:t xml:space="preserve">This report seeks to provide assurance that </w:t>
      </w:r>
      <w:r w:rsidR="00182DA9" w:rsidRPr="003073C1">
        <w:rPr>
          <w:rFonts w:cstheme="minorHAnsi"/>
        </w:rPr>
        <w:t>equality</w:t>
      </w:r>
      <w:r w:rsidR="00182DA9">
        <w:rPr>
          <w:rFonts w:cstheme="minorHAnsi"/>
        </w:rPr>
        <w:t xml:space="preserve">, </w:t>
      </w:r>
      <w:r w:rsidR="00182DA9" w:rsidRPr="003073C1">
        <w:rPr>
          <w:rFonts w:cstheme="minorHAnsi"/>
        </w:rPr>
        <w:t>diversity</w:t>
      </w:r>
      <w:r w:rsidR="00182DA9">
        <w:rPr>
          <w:rFonts w:cstheme="minorHAnsi"/>
        </w:rPr>
        <w:t xml:space="preserve"> &amp; inclusion</w:t>
      </w:r>
      <w:r w:rsidR="00182DA9" w:rsidRPr="003073C1">
        <w:rPr>
          <w:rFonts w:cstheme="minorHAnsi"/>
        </w:rPr>
        <w:t xml:space="preserve"> </w:t>
      </w:r>
      <w:r w:rsidR="00182DA9">
        <w:rPr>
          <w:rFonts w:cstheme="minorHAnsi"/>
        </w:rPr>
        <w:t xml:space="preserve">(EDI) </w:t>
      </w:r>
      <w:r w:rsidRPr="003073C1">
        <w:rPr>
          <w:rFonts w:eastAsia="Times New Roman" w:cstheme="minorHAnsi"/>
        </w:rPr>
        <w:t xml:space="preserve">at Barnsley College in </w:t>
      </w:r>
      <w:r w:rsidR="008F59A8" w:rsidRPr="003073C1">
        <w:rPr>
          <w:rFonts w:eastAsia="Times New Roman" w:cstheme="minorHAnsi"/>
        </w:rPr>
        <w:t>20</w:t>
      </w:r>
      <w:r w:rsidR="00EA1101">
        <w:rPr>
          <w:rFonts w:eastAsia="Times New Roman" w:cstheme="minorHAnsi"/>
        </w:rPr>
        <w:t>21/22</w:t>
      </w:r>
      <w:r w:rsidRPr="003073C1">
        <w:rPr>
          <w:rFonts w:eastAsia="Times New Roman" w:cstheme="minorHAnsi"/>
        </w:rPr>
        <w:t xml:space="preserve"> has been a priority, </w:t>
      </w:r>
      <w:bookmarkStart w:id="0" w:name="_Toc405543922"/>
      <w:bookmarkStart w:id="1" w:name="_Toc405843436"/>
      <w:r w:rsidRPr="003073C1">
        <w:rPr>
          <w:rFonts w:eastAsia="Times New Roman" w:cstheme="minorHAnsi"/>
        </w:rPr>
        <w:t xml:space="preserve">permeating everything that we do, improving the lives of </w:t>
      </w:r>
      <w:r w:rsidR="004D054F" w:rsidRPr="003073C1">
        <w:rPr>
          <w:rFonts w:eastAsia="Times New Roman" w:cstheme="minorHAnsi"/>
        </w:rPr>
        <w:t xml:space="preserve">both </w:t>
      </w:r>
      <w:r w:rsidRPr="003073C1">
        <w:rPr>
          <w:rFonts w:eastAsia="Times New Roman" w:cstheme="minorHAnsi"/>
        </w:rPr>
        <w:t>our students</w:t>
      </w:r>
      <w:r w:rsidR="004D054F" w:rsidRPr="003073C1">
        <w:rPr>
          <w:rFonts w:eastAsia="Times New Roman" w:cstheme="minorHAnsi"/>
        </w:rPr>
        <w:t xml:space="preserve"> and our staff</w:t>
      </w:r>
      <w:r w:rsidRPr="003073C1">
        <w:rPr>
          <w:rFonts w:eastAsia="Times New Roman" w:cstheme="minorHAnsi"/>
        </w:rPr>
        <w:t xml:space="preserve"> and not just existing in the liminal world of good intentions.</w:t>
      </w:r>
    </w:p>
    <w:p w14:paraId="5F47261F" w14:textId="77777777" w:rsidR="00DB1D12" w:rsidRPr="003073C1" w:rsidRDefault="00DB1D12" w:rsidP="00EF69CE">
      <w:pPr>
        <w:rPr>
          <w:rFonts w:eastAsia="Times New Roman" w:cstheme="minorHAnsi"/>
        </w:rPr>
      </w:pPr>
    </w:p>
    <w:p w14:paraId="478E5857" w14:textId="77777777" w:rsidR="003073C1" w:rsidRPr="003073C1" w:rsidRDefault="003073C1" w:rsidP="00EF69CE">
      <w:pPr>
        <w:rPr>
          <w:rFonts w:eastAsia="Times New Roman" w:cstheme="minorHAnsi"/>
        </w:rPr>
      </w:pPr>
    </w:p>
    <w:bookmarkEnd w:id="0"/>
    <w:bookmarkEnd w:id="1"/>
    <w:p w14:paraId="3ADFDCB8" w14:textId="77777777" w:rsidR="00DB1D12" w:rsidRPr="003073C1" w:rsidRDefault="00DB1D12" w:rsidP="00EF69CE">
      <w:pPr>
        <w:pStyle w:val="Heading1"/>
        <w:rPr>
          <w:rFonts w:cstheme="minorHAnsi"/>
        </w:rPr>
      </w:pPr>
      <w:r w:rsidRPr="003073C1">
        <w:rPr>
          <w:rFonts w:cstheme="minorHAnsi"/>
        </w:rPr>
        <w:t>OUR PUBLIC SECTOR DUTIES</w:t>
      </w:r>
    </w:p>
    <w:p w14:paraId="392353E3" w14:textId="77777777" w:rsidR="00DB1D12" w:rsidRPr="003073C1" w:rsidRDefault="00DB1D12" w:rsidP="00EF69CE">
      <w:pPr>
        <w:rPr>
          <w:rFonts w:cstheme="minorHAnsi"/>
          <w:b/>
        </w:rPr>
      </w:pPr>
      <w:r w:rsidRPr="003073C1">
        <w:rPr>
          <w:rFonts w:cstheme="minorHAnsi"/>
        </w:rPr>
        <w:t xml:space="preserve">The </w:t>
      </w:r>
      <w:r w:rsidRPr="003073C1">
        <w:rPr>
          <w:rFonts w:cstheme="minorHAnsi"/>
          <w:i/>
        </w:rPr>
        <w:t>Equality Act (2010)</w:t>
      </w:r>
      <w:r w:rsidRPr="003073C1">
        <w:rPr>
          <w:rFonts w:cstheme="minorHAnsi"/>
        </w:rPr>
        <w:t xml:space="preserve"> is one of the most important pieces of UK legislation in that it seeks not just to limit behaviours (Eliminate) </w:t>
      </w:r>
      <w:r w:rsidR="00582F99" w:rsidRPr="003073C1">
        <w:rPr>
          <w:rFonts w:cstheme="minorHAnsi"/>
        </w:rPr>
        <w:t>but also</w:t>
      </w:r>
      <w:r w:rsidRPr="003073C1">
        <w:rPr>
          <w:rFonts w:cstheme="minorHAnsi"/>
        </w:rPr>
        <w:t xml:space="preserve"> to drive positive change (Advance, Foster.) It does this through the conferment of a statutory duty to:</w:t>
      </w:r>
    </w:p>
    <w:p w14:paraId="1B560B87" w14:textId="77777777" w:rsidR="00DB1D12" w:rsidRPr="003073C1" w:rsidRDefault="00DB1D12" w:rsidP="00A96E67">
      <w:pPr>
        <w:pStyle w:val="BulletList1"/>
        <w:spacing w:before="0"/>
        <w:rPr>
          <w:rFonts w:cstheme="minorHAnsi"/>
        </w:rPr>
      </w:pPr>
      <w:r w:rsidRPr="003073C1">
        <w:rPr>
          <w:rFonts w:cstheme="minorHAnsi"/>
        </w:rPr>
        <w:t>El</w:t>
      </w:r>
      <w:r w:rsidR="00582F99" w:rsidRPr="003073C1">
        <w:rPr>
          <w:rFonts w:cstheme="minorHAnsi"/>
        </w:rPr>
        <w:t>iminate unlawful discrimination</w:t>
      </w:r>
      <w:r w:rsidR="003073C1" w:rsidRPr="003073C1">
        <w:rPr>
          <w:rFonts w:cstheme="minorHAnsi"/>
        </w:rPr>
        <w:t>.</w:t>
      </w:r>
    </w:p>
    <w:p w14:paraId="4F04E846" w14:textId="77777777" w:rsidR="00DB1D12" w:rsidRPr="003073C1" w:rsidRDefault="00582F99" w:rsidP="00EF69CE">
      <w:pPr>
        <w:pStyle w:val="BulletList1"/>
        <w:rPr>
          <w:rFonts w:cstheme="minorHAnsi"/>
        </w:rPr>
      </w:pPr>
      <w:r w:rsidRPr="003073C1">
        <w:rPr>
          <w:rFonts w:cstheme="minorHAnsi"/>
        </w:rPr>
        <w:t>Advance equality of opportunity</w:t>
      </w:r>
      <w:r w:rsidR="003073C1" w:rsidRPr="003073C1">
        <w:rPr>
          <w:rFonts w:cstheme="minorHAnsi"/>
        </w:rPr>
        <w:t>.</w:t>
      </w:r>
    </w:p>
    <w:p w14:paraId="0A4FA20B" w14:textId="77777777" w:rsidR="00DB1D12" w:rsidRPr="003073C1" w:rsidRDefault="00582F99" w:rsidP="00EF69CE">
      <w:pPr>
        <w:pStyle w:val="BulletList1"/>
        <w:rPr>
          <w:rFonts w:cstheme="minorHAnsi"/>
        </w:rPr>
      </w:pPr>
      <w:r w:rsidRPr="003073C1">
        <w:rPr>
          <w:rFonts w:cstheme="minorHAnsi"/>
        </w:rPr>
        <w:t>Foster good relations</w:t>
      </w:r>
      <w:r w:rsidR="003073C1" w:rsidRPr="003073C1">
        <w:rPr>
          <w:rFonts w:cstheme="minorHAnsi"/>
        </w:rPr>
        <w:t>.</w:t>
      </w:r>
    </w:p>
    <w:p w14:paraId="2C0846F4" w14:textId="77777777" w:rsidR="00DB1D12" w:rsidRPr="003073C1" w:rsidRDefault="00DB1D12" w:rsidP="00EF69CE">
      <w:pPr>
        <w:rPr>
          <w:rFonts w:cstheme="minorHAnsi"/>
        </w:rPr>
      </w:pPr>
      <w:r w:rsidRPr="003073C1">
        <w:rPr>
          <w:rFonts w:cstheme="minorHAnsi"/>
        </w:rPr>
        <w:t xml:space="preserve">The scope of the legal framework places the following ‘Protected Characteristics’ at the forefront of our duty of care: </w:t>
      </w:r>
    </w:p>
    <w:p w14:paraId="5496D901" w14:textId="77777777" w:rsidR="00582F99" w:rsidRPr="003073C1" w:rsidRDefault="00DB1D12" w:rsidP="00A96E67">
      <w:pPr>
        <w:pStyle w:val="BulletList1"/>
        <w:spacing w:before="0"/>
        <w:rPr>
          <w:rFonts w:cstheme="minorHAnsi"/>
        </w:rPr>
      </w:pPr>
      <w:r w:rsidRPr="003073C1">
        <w:rPr>
          <w:rFonts w:cstheme="minorHAnsi"/>
        </w:rPr>
        <w:t>Age</w:t>
      </w:r>
      <w:r w:rsidR="003073C1" w:rsidRPr="003073C1">
        <w:rPr>
          <w:rFonts w:cstheme="minorHAnsi"/>
        </w:rPr>
        <w:t>.</w:t>
      </w:r>
    </w:p>
    <w:p w14:paraId="3A0FD773" w14:textId="77777777" w:rsidR="00DB1D12" w:rsidRPr="003073C1" w:rsidRDefault="00582F99" w:rsidP="00EF69CE">
      <w:pPr>
        <w:pStyle w:val="BulletList1"/>
        <w:rPr>
          <w:rFonts w:cstheme="minorHAnsi"/>
        </w:rPr>
      </w:pPr>
      <w:r w:rsidRPr="003073C1">
        <w:rPr>
          <w:rFonts w:cstheme="minorHAnsi"/>
        </w:rPr>
        <w:t>Gender</w:t>
      </w:r>
      <w:r w:rsidR="003073C1" w:rsidRPr="003073C1">
        <w:rPr>
          <w:rFonts w:cstheme="minorHAnsi"/>
        </w:rPr>
        <w:t>.</w:t>
      </w:r>
    </w:p>
    <w:p w14:paraId="0CC939B0" w14:textId="77777777" w:rsidR="00DB1D12" w:rsidRPr="003073C1" w:rsidRDefault="00DB1D12" w:rsidP="00EF69CE">
      <w:pPr>
        <w:pStyle w:val="BulletList1"/>
        <w:rPr>
          <w:rFonts w:cstheme="minorHAnsi"/>
        </w:rPr>
      </w:pPr>
      <w:r w:rsidRPr="003073C1">
        <w:rPr>
          <w:rFonts w:cstheme="minorHAnsi"/>
        </w:rPr>
        <w:t>Gender reassignment</w:t>
      </w:r>
      <w:r w:rsidR="003073C1" w:rsidRPr="003073C1">
        <w:rPr>
          <w:rFonts w:cstheme="minorHAnsi"/>
        </w:rPr>
        <w:t>.</w:t>
      </w:r>
    </w:p>
    <w:p w14:paraId="1EB6BF6D" w14:textId="77777777" w:rsidR="00582F99" w:rsidRPr="003073C1" w:rsidRDefault="00582F99" w:rsidP="00EF69CE">
      <w:pPr>
        <w:pStyle w:val="BulletList1"/>
        <w:rPr>
          <w:rFonts w:cstheme="minorHAnsi"/>
        </w:rPr>
      </w:pPr>
      <w:r w:rsidRPr="003073C1">
        <w:rPr>
          <w:rFonts w:cstheme="minorHAnsi"/>
        </w:rPr>
        <w:t>Marriage and civil partnership</w:t>
      </w:r>
      <w:r w:rsidR="003073C1" w:rsidRPr="003073C1">
        <w:rPr>
          <w:rFonts w:cstheme="minorHAnsi"/>
        </w:rPr>
        <w:t>.</w:t>
      </w:r>
    </w:p>
    <w:p w14:paraId="63DA6BB2" w14:textId="77777777" w:rsidR="00DB1D12" w:rsidRPr="003073C1" w:rsidRDefault="00582F99" w:rsidP="00EF69CE">
      <w:pPr>
        <w:pStyle w:val="BulletList1"/>
        <w:rPr>
          <w:rFonts w:cstheme="minorHAnsi"/>
        </w:rPr>
      </w:pPr>
      <w:r w:rsidRPr="003073C1">
        <w:rPr>
          <w:rFonts w:cstheme="minorHAnsi"/>
        </w:rPr>
        <w:t>Pregnancy and maternity</w:t>
      </w:r>
      <w:r w:rsidR="003073C1" w:rsidRPr="003073C1">
        <w:rPr>
          <w:rFonts w:cstheme="minorHAnsi"/>
        </w:rPr>
        <w:t>.</w:t>
      </w:r>
    </w:p>
    <w:p w14:paraId="4D628738" w14:textId="77777777" w:rsidR="00DB1D12" w:rsidRPr="003073C1" w:rsidRDefault="00582F99" w:rsidP="00EF69CE">
      <w:pPr>
        <w:pStyle w:val="BulletList1"/>
        <w:rPr>
          <w:rFonts w:cstheme="minorHAnsi"/>
        </w:rPr>
      </w:pPr>
      <w:r w:rsidRPr="003073C1">
        <w:rPr>
          <w:rFonts w:cstheme="minorHAnsi"/>
        </w:rPr>
        <w:t>Race</w:t>
      </w:r>
      <w:r w:rsidR="003073C1" w:rsidRPr="003073C1">
        <w:rPr>
          <w:rFonts w:cstheme="minorHAnsi"/>
        </w:rPr>
        <w:t>.</w:t>
      </w:r>
    </w:p>
    <w:p w14:paraId="57EA5D56" w14:textId="77777777" w:rsidR="00DB1D12" w:rsidRPr="003073C1" w:rsidRDefault="00582F99" w:rsidP="00EF69CE">
      <w:pPr>
        <w:pStyle w:val="BulletList1"/>
        <w:rPr>
          <w:rFonts w:cstheme="minorHAnsi"/>
        </w:rPr>
      </w:pPr>
      <w:r w:rsidRPr="003073C1">
        <w:rPr>
          <w:rFonts w:cstheme="minorHAnsi"/>
        </w:rPr>
        <w:t>Religion or belief</w:t>
      </w:r>
      <w:r w:rsidR="003073C1" w:rsidRPr="003073C1">
        <w:rPr>
          <w:rFonts w:cstheme="minorHAnsi"/>
        </w:rPr>
        <w:t>.</w:t>
      </w:r>
    </w:p>
    <w:p w14:paraId="550B9EF5" w14:textId="77777777" w:rsidR="00DB1D12" w:rsidRPr="003073C1" w:rsidRDefault="00582F99" w:rsidP="00EF69CE">
      <w:pPr>
        <w:pStyle w:val="BulletList1"/>
        <w:rPr>
          <w:rFonts w:cstheme="minorHAnsi"/>
        </w:rPr>
      </w:pPr>
      <w:r w:rsidRPr="003073C1">
        <w:rPr>
          <w:rFonts w:cstheme="minorHAnsi"/>
        </w:rPr>
        <w:t>Sexual orientation</w:t>
      </w:r>
      <w:r w:rsidR="003073C1" w:rsidRPr="003073C1">
        <w:rPr>
          <w:rFonts w:cstheme="minorHAnsi"/>
        </w:rPr>
        <w:t>.</w:t>
      </w:r>
    </w:p>
    <w:p w14:paraId="39DDFA5E" w14:textId="77777777" w:rsidR="003073C1" w:rsidRPr="003073C1" w:rsidRDefault="00582F99" w:rsidP="00EF69CE">
      <w:pPr>
        <w:pStyle w:val="BulletList1"/>
        <w:spacing w:after="0" w:afterAutospacing="0"/>
        <w:rPr>
          <w:rFonts w:cstheme="minorHAnsi"/>
        </w:rPr>
      </w:pPr>
      <w:r w:rsidRPr="003073C1">
        <w:rPr>
          <w:rFonts w:cstheme="minorHAnsi"/>
        </w:rPr>
        <w:t>Disability</w:t>
      </w:r>
      <w:r w:rsidR="003073C1" w:rsidRPr="003073C1">
        <w:rPr>
          <w:rFonts w:cstheme="minorHAnsi"/>
        </w:rPr>
        <w:t>.</w:t>
      </w:r>
    </w:p>
    <w:p w14:paraId="13DAA811" w14:textId="77777777" w:rsidR="003073C1" w:rsidRPr="003073C1" w:rsidRDefault="003073C1" w:rsidP="00EF69CE">
      <w:pPr>
        <w:pStyle w:val="BulletList1"/>
        <w:numPr>
          <w:ilvl w:val="0"/>
          <w:numId w:val="0"/>
        </w:numPr>
        <w:spacing w:after="0" w:afterAutospacing="0"/>
        <w:ind w:left="720"/>
        <w:rPr>
          <w:rFonts w:cstheme="minorHAnsi"/>
        </w:rPr>
      </w:pPr>
    </w:p>
    <w:p w14:paraId="466E4554" w14:textId="77777777" w:rsidR="00DB1D12" w:rsidRPr="003073C1" w:rsidRDefault="003073C1" w:rsidP="00EF69CE">
      <w:pPr>
        <w:pStyle w:val="Heading2"/>
        <w:rPr>
          <w:rFonts w:cstheme="minorHAnsi"/>
          <w:szCs w:val="22"/>
        </w:rPr>
      </w:pPr>
      <w:r w:rsidRPr="003073C1">
        <w:rPr>
          <w:rFonts w:cstheme="minorHAnsi"/>
          <w:szCs w:val="22"/>
        </w:rPr>
        <w:t xml:space="preserve">Leadership and Management </w:t>
      </w:r>
    </w:p>
    <w:p w14:paraId="0F66875A" w14:textId="5CE4FB77" w:rsidR="00DB1D12" w:rsidRPr="003073C1" w:rsidRDefault="00DB1D12" w:rsidP="00EF69CE">
      <w:pPr>
        <w:rPr>
          <w:rFonts w:eastAsia="Times New Roman" w:cstheme="minorHAnsi"/>
        </w:rPr>
      </w:pPr>
      <w:r w:rsidRPr="003073C1">
        <w:rPr>
          <w:rFonts w:eastAsia="Times New Roman" w:cstheme="minorHAnsi"/>
        </w:rPr>
        <w:t>The</w:t>
      </w:r>
      <w:r w:rsidR="003073C1">
        <w:rPr>
          <w:rFonts w:eastAsia="Times New Roman" w:cstheme="minorHAnsi"/>
        </w:rPr>
        <w:t xml:space="preserve"> c</w:t>
      </w:r>
      <w:r w:rsidRPr="003073C1">
        <w:rPr>
          <w:rFonts w:eastAsia="Times New Roman" w:cstheme="minorHAnsi"/>
        </w:rPr>
        <w:t xml:space="preserve">ollege’s strong commitment to </w:t>
      </w:r>
      <w:r w:rsidR="00182DA9">
        <w:rPr>
          <w:rFonts w:cstheme="minorHAnsi"/>
        </w:rPr>
        <w:t>EDI</w:t>
      </w:r>
      <w:r w:rsidR="00182DA9" w:rsidRPr="003073C1">
        <w:rPr>
          <w:rFonts w:cstheme="minorHAnsi"/>
        </w:rPr>
        <w:t xml:space="preserve"> </w:t>
      </w:r>
      <w:r w:rsidRPr="003073C1">
        <w:rPr>
          <w:rFonts w:eastAsia="Times New Roman" w:cstheme="minorHAnsi"/>
        </w:rPr>
        <w:t xml:space="preserve">starts </w:t>
      </w:r>
      <w:r w:rsidR="00661C57" w:rsidRPr="003073C1">
        <w:rPr>
          <w:rFonts w:eastAsia="Times New Roman" w:cstheme="minorHAnsi"/>
        </w:rPr>
        <w:t xml:space="preserve">with the </w:t>
      </w:r>
      <w:r w:rsidR="00EF69CE">
        <w:rPr>
          <w:rFonts w:eastAsia="Times New Roman" w:cstheme="minorHAnsi"/>
        </w:rPr>
        <w:t>Executive</w:t>
      </w:r>
      <w:r w:rsidR="00661C57" w:rsidRPr="003073C1">
        <w:rPr>
          <w:rFonts w:eastAsia="Times New Roman" w:cstheme="minorHAnsi"/>
        </w:rPr>
        <w:t xml:space="preserve"> Team. </w:t>
      </w:r>
      <w:r w:rsidRPr="003073C1">
        <w:rPr>
          <w:rFonts w:eastAsia="Times New Roman" w:cstheme="minorHAnsi"/>
        </w:rPr>
        <w:t xml:space="preserve"> </w:t>
      </w:r>
      <w:r w:rsidR="00661C57" w:rsidRPr="003073C1">
        <w:rPr>
          <w:rFonts w:eastAsia="Times New Roman" w:cstheme="minorHAnsi"/>
        </w:rPr>
        <w:t xml:space="preserve">A member of </w:t>
      </w:r>
      <w:r w:rsidR="00EF69CE">
        <w:rPr>
          <w:rFonts w:eastAsia="Times New Roman" w:cstheme="minorHAnsi"/>
        </w:rPr>
        <w:t>Executive</w:t>
      </w:r>
      <w:r w:rsidR="00661C57" w:rsidRPr="003073C1">
        <w:rPr>
          <w:rFonts w:eastAsia="Times New Roman" w:cstheme="minorHAnsi"/>
        </w:rPr>
        <w:t>, the Deputy Principal Culture, Place and Communities chairs the Equality &amp; Diversity Strategy Group</w:t>
      </w:r>
      <w:r w:rsidRPr="003073C1">
        <w:rPr>
          <w:rFonts w:eastAsia="Times New Roman" w:cstheme="minorHAnsi"/>
        </w:rPr>
        <w:t xml:space="preserve">.  </w:t>
      </w:r>
    </w:p>
    <w:p w14:paraId="6B634762" w14:textId="77777777" w:rsidR="00DB1D12" w:rsidRPr="003073C1" w:rsidRDefault="00DB1D12" w:rsidP="00EF69CE">
      <w:pPr>
        <w:ind w:right="-694"/>
        <w:rPr>
          <w:rFonts w:eastAsia="Times New Roman" w:cstheme="minorHAnsi"/>
        </w:rPr>
      </w:pPr>
    </w:p>
    <w:p w14:paraId="5AB66393" w14:textId="77777777" w:rsidR="00DB1D12" w:rsidRPr="003073C1" w:rsidRDefault="00DB1D12" w:rsidP="00EF69CE">
      <w:pPr>
        <w:rPr>
          <w:rFonts w:cstheme="minorHAnsi"/>
        </w:rPr>
      </w:pPr>
      <w:r w:rsidRPr="003073C1">
        <w:rPr>
          <w:rFonts w:cstheme="minorHAnsi"/>
        </w:rPr>
        <w:t>The Equality and Diversity Strategy Group monitors the progress of the Single Equality Scheme and the associated action plan:</w:t>
      </w:r>
    </w:p>
    <w:p w14:paraId="2216EAAD" w14:textId="3C0AE26D" w:rsidR="00DB1D12" w:rsidRPr="003073C1" w:rsidRDefault="00DB1D12" w:rsidP="00A96E67">
      <w:pPr>
        <w:pStyle w:val="BulletList1"/>
        <w:spacing w:before="0"/>
        <w:rPr>
          <w:rFonts w:cstheme="minorHAnsi"/>
        </w:rPr>
      </w:pPr>
      <w:r w:rsidRPr="003073C1">
        <w:rPr>
          <w:rFonts w:cstheme="minorHAnsi"/>
        </w:rPr>
        <w:t xml:space="preserve">The link governor for </w:t>
      </w:r>
      <w:r w:rsidR="00182DA9" w:rsidRPr="003073C1">
        <w:rPr>
          <w:rFonts w:cstheme="minorHAnsi"/>
        </w:rPr>
        <w:t>equality</w:t>
      </w:r>
      <w:r w:rsidR="00182DA9">
        <w:rPr>
          <w:rFonts w:cstheme="minorHAnsi"/>
        </w:rPr>
        <w:t xml:space="preserve">, </w:t>
      </w:r>
      <w:r w:rsidR="00182DA9" w:rsidRPr="003073C1">
        <w:rPr>
          <w:rFonts w:cstheme="minorHAnsi"/>
        </w:rPr>
        <w:t>diversity</w:t>
      </w:r>
      <w:r w:rsidR="00182DA9">
        <w:rPr>
          <w:rFonts w:cstheme="minorHAnsi"/>
        </w:rPr>
        <w:t xml:space="preserve"> &amp; inclusion</w:t>
      </w:r>
      <w:r w:rsidR="00182DA9" w:rsidRPr="003073C1">
        <w:rPr>
          <w:rFonts w:cstheme="minorHAnsi"/>
        </w:rPr>
        <w:t xml:space="preserve"> </w:t>
      </w:r>
      <w:r w:rsidRPr="003073C1">
        <w:rPr>
          <w:rFonts w:cstheme="minorHAnsi"/>
        </w:rPr>
        <w:t>completes a link visit with key staff twice a year to ensure the college is meeting its statutory duties. A report is then presented to the Board of Governors.</w:t>
      </w:r>
    </w:p>
    <w:p w14:paraId="6435B461" w14:textId="777C98FD" w:rsidR="00DB1D12" w:rsidRPr="003073C1" w:rsidRDefault="00DB1D12" w:rsidP="00EF69CE">
      <w:pPr>
        <w:pStyle w:val="BulletList1"/>
        <w:rPr>
          <w:rFonts w:cstheme="minorHAnsi"/>
        </w:rPr>
      </w:pPr>
      <w:r w:rsidRPr="003073C1">
        <w:rPr>
          <w:rFonts w:cstheme="minorHAnsi"/>
        </w:rPr>
        <w:t xml:space="preserve">The Senior Management Team leads the setting and monitoring of college targets in relation to </w:t>
      </w:r>
      <w:r w:rsidR="00182DA9" w:rsidRPr="003073C1">
        <w:rPr>
          <w:rFonts w:cstheme="minorHAnsi"/>
        </w:rPr>
        <w:t>equality</w:t>
      </w:r>
      <w:r w:rsidR="00182DA9">
        <w:rPr>
          <w:rFonts w:cstheme="minorHAnsi"/>
        </w:rPr>
        <w:t xml:space="preserve">, </w:t>
      </w:r>
      <w:r w:rsidR="00182DA9" w:rsidRPr="003073C1">
        <w:rPr>
          <w:rFonts w:cstheme="minorHAnsi"/>
        </w:rPr>
        <w:t>diversity</w:t>
      </w:r>
      <w:r w:rsidR="00182DA9">
        <w:rPr>
          <w:rFonts w:cstheme="minorHAnsi"/>
        </w:rPr>
        <w:t xml:space="preserve"> &amp; inclusion. </w:t>
      </w:r>
    </w:p>
    <w:p w14:paraId="7B55DCA7" w14:textId="137AEB1C" w:rsidR="00DB1D12" w:rsidRPr="003073C1" w:rsidRDefault="00182DA9" w:rsidP="00EF69CE">
      <w:pPr>
        <w:pStyle w:val="BulletList1"/>
        <w:rPr>
          <w:rFonts w:cstheme="minorHAnsi"/>
        </w:rPr>
      </w:pPr>
      <w:r>
        <w:rPr>
          <w:rFonts w:cstheme="minorHAnsi"/>
        </w:rPr>
        <w:lastRenderedPageBreak/>
        <w:t>E</w:t>
      </w:r>
      <w:r w:rsidRPr="003073C1">
        <w:rPr>
          <w:rFonts w:cstheme="minorHAnsi"/>
        </w:rPr>
        <w:t>quality</w:t>
      </w:r>
      <w:r>
        <w:rPr>
          <w:rFonts w:cstheme="minorHAnsi"/>
        </w:rPr>
        <w:t xml:space="preserve">, </w:t>
      </w:r>
      <w:r w:rsidRPr="003073C1">
        <w:rPr>
          <w:rFonts w:cstheme="minorHAnsi"/>
        </w:rPr>
        <w:t>diversity</w:t>
      </w:r>
      <w:r>
        <w:rPr>
          <w:rFonts w:cstheme="minorHAnsi"/>
        </w:rPr>
        <w:t xml:space="preserve"> &amp; inclusion</w:t>
      </w:r>
      <w:r w:rsidRPr="003073C1">
        <w:rPr>
          <w:rFonts w:cstheme="minorHAnsi"/>
        </w:rPr>
        <w:t xml:space="preserve"> </w:t>
      </w:r>
      <w:r w:rsidR="00931C37" w:rsidRPr="003073C1">
        <w:rPr>
          <w:rFonts w:cstheme="minorHAnsi"/>
        </w:rPr>
        <w:t>is monitored in performance reviews for each department.</w:t>
      </w:r>
    </w:p>
    <w:p w14:paraId="27FEF6B2" w14:textId="77777777" w:rsidR="00DB1D12" w:rsidRPr="003073C1" w:rsidRDefault="00DB1D12" w:rsidP="00EF69CE">
      <w:pPr>
        <w:pStyle w:val="BulletList1"/>
        <w:rPr>
          <w:rFonts w:cstheme="minorHAnsi"/>
        </w:rPr>
      </w:pPr>
      <w:r w:rsidRPr="003073C1">
        <w:rPr>
          <w:rFonts w:cstheme="minorHAnsi"/>
        </w:rPr>
        <w:t xml:space="preserve">The </w:t>
      </w:r>
      <w:r w:rsidR="00661C57" w:rsidRPr="003073C1">
        <w:rPr>
          <w:rFonts w:cstheme="minorHAnsi"/>
        </w:rPr>
        <w:t xml:space="preserve">Deputy Principal Culture, Place and Communities </w:t>
      </w:r>
      <w:r w:rsidRPr="003073C1">
        <w:rPr>
          <w:rFonts w:cstheme="minorHAnsi"/>
        </w:rPr>
        <w:t>ensures that governors are trained in equality and diversity matters and are fully up to date with all relevant legislation.</w:t>
      </w:r>
    </w:p>
    <w:p w14:paraId="7B4AC03C" w14:textId="20C9CE46" w:rsidR="006C30D5" w:rsidRPr="003073C1" w:rsidRDefault="00DB1D12" w:rsidP="00EF69CE">
      <w:pPr>
        <w:pStyle w:val="BulletList1"/>
        <w:rPr>
          <w:rFonts w:eastAsia="Calibri" w:cstheme="minorHAnsi"/>
        </w:rPr>
      </w:pPr>
      <w:r w:rsidRPr="003073C1">
        <w:rPr>
          <w:rFonts w:eastAsia="Calibri" w:cstheme="minorHAnsi"/>
        </w:rPr>
        <w:t xml:space="preserve">All </w:t>
      </w:r>
      <w:r w:rsidR="006C30D5" w:rsidRPr="003073C1">
        <w:rPr>
          <w:rFonts w:eastAsia="Calibri" w:cstheme="minorHAnsi"/>
        </w:rPr>
        <w:t>policyholders</w:t>
      </w:r>
      <w:r w:rsidRPr="003073C1">
        <w:rPr>
          <w:rFonts w:eastAsia="Calibri" w:cstheme="minorHAnsi"/>
        </w:rPr>
        <w:t xml:space="preserve"> are required to conduct an Equality Impact Assessment (</w:t>
      </w:r>
      <w:proofErr w:type="spellStart"/>
      <w:r w:rsidRPr="003073C1">
        <w:rPr>
          <w:rFonts w:eastAsia="Calibri" w:cstheme="minorHAnsi"/>
        </w:rPr>
        <w:t>E</w:t>
      </w:r>
      <w:r w:rsidR="00182DA9">
        <w:rPr>
          <w:rFonts w:eastAsia="Calibri" w:cstheme="minorHAnsi"/>
        </w:rPr>
        <w:t>q</w:t>
      </w:r>
      <w:r w:rsidRPr="003073C1">
        <w:rPr>
          <w:rFonts w:eastAsia="Calibri" w:cstheme="minorHAnsi"/>
        </w:rPr>
        <w:t>IA</w:t>
      </w:r>
      <w:proofErr w:type="spellEnd"/>
      <w:r w:rsidRPr="003073C1">
        <w:rPr>
          <w:rFonts w:eastAsia="Calibri" w:cstheme="minorHAnsi"/>
        </w:rPr>
        <w:t>) on all p</w:t>
      </w:r>
      <w:r w:rsidR="006C30D5" w:rsidRPr="003073C1">
        <w:rPr>
          <w:rFonts w:eastAsia="Calibri" w:cstheme="minorHAnsi"/>
        </w:rPr>
        <w:t>olicies to ensure that no group is</w:t>
      </w:r>
      <w:r w:rsidRPr="003073C1">
        <w:rPr>
          <w:rFonts w:eastAsia="Calibri" w:cstheme="minorHAnsi"/>
        </w:rPr>
        <w:t xml:space="preserve"> disproportionately affected by college policy.</w:t>
      </w:r>
    </w:p>
    <w:p w14:paraId="7DBDB920" w14:textId="77777777" w:rsidR="00DB1D12" w:rsidRPr="003073C1" w:rsidRDefault="003073C1" w:rsidP="00EF69CE">
      <w:pPr>
        <w:pStyle w:val="Heading2"/>
        <w:rPr>
          <w:rFonts w:eastAsia="Calibri" w:cstheme="minorHAnsi"/>
          <w:szCs w:val="22"/>
        </w:rPr>
      </w:pPr>
      <w:r w:rsidRPr="003073C1">
        <w:rPr>
          <w:rFonts w:eastAsia="Calibri" w:cstheme="minorHAnsi"/>
          <w:szCs w:val="22"/>
        </w:rPr>
        <w:t xml:space="preserve">Governance </w:t>
      </w:r>
    </w:p>
    <w:p w14:paraId="7274003A" w14:textId="77777777" w:rsidR="00DB1D12" w:rsidRPr="003073C1" w:rsidRDefault="00DB1D12" w:rsidP="00EF69CE">
      <w:pPr>
        <w:rPr>
          <w:rFonts w:eastAsia="Calibri" w:cstheme="minorHAnsi"/>
          <w:b/>
        </w:rPr>
      </w:pPr>
      <w:r w:rsidRPr="003073C1">
        <w:rPr>
          <w:rFonts w:eastAsia="Calibri" w:cstheme="minorHAnsi"/>
        </w:rPr>
        <w:t>The governing body has a duty to ensure that the college is compliant with its statutory duties and that appropriate, effective and meaningful policies and procedures are in place. It carries out this duty through:</w:t>
      </w:r>
    </w:p>
    <w:p w14:paraId="673997CC" w14:textId="77777777" w:rsidR="00DB1D12" w:rsidRPr="003073C1" w:rsidRDefault="00DB1D12" w:rsidP="00A96E67">
      <w:pPr>
        <w:pStyle w:val="BulletList1"/>
        <w:spacing w:before="0"/>
        <w:rPr>
          <w:rFonts w:eastAsia="Calibri" w:cstheme="minorHAnsi"/>
        </w:rPr>
      </w:pPr>
      <w:r w:rsidRPr="003073C1">
        <w:rPr>
          <w:rFonts w:eastAsia="Calibri" w:cstheme="minorHAnsi"/>
        </w:rPr>
        <w:t>Scrutiny of data on an annual basis.</w:t>
      </w:r>
    </w:p>
    <w:p w14:paraId="27814826" w14:textId="40F9F43C" w:rsidR="00DB1D12" w:rsidRPr="003073C1" w:rsidRDefault="00DB1D12" w:rsidP="00EF69CE">
      <w:pPr>
        <w:pStyle w:val="BulletList1"/>
        <w:rPr>
          <w:rFonts w:eastAsia="Calibri" w:cstheme="minorHAnsi"/>
        </w:rPr>
      </w:pPr>
      <w:r w:rsidRPr="003073C1">
        <w:rPr>
          <w:rFonts w:eastAsia="Calibri" w:cstheme="minorHAnsi"/>
        </w:rPr>
        <w:t>Receiving the Equality</w:t>
      </w:r>
      <w:r w:rsidR="00182DA9">
        <w:rPr>
          <w:rFonts w:eastAsia="Calibri" w:cstheme="minorHAnsi"/>
        </w:rPr>
        <w:t xml:space="preserve">, </w:t>
      </w:r>
      <w:r w:rsidRPr="003073C1">
        <w:rPr>
          <w:rFonts w:eastAsia="Calibri" w:cstheme="minorHAnsi"/>
        </w:rPr>
        <w:t>Diversity</w:t>
      </w:r>
      <w:r w:rsidR="00182DA9">
        <w:rPr>
          <w:rFonts w:eastAsia="Calibri" w:cstheme="minorHAnsi"/>
        </w:rPr>
        <w:t xml:space="preserve"> &amp; Inclusion</w:t>
      </w:r>
      <w:r w:rsidRPr="003073C1">
        <w:rPr>
          <w:rFonts w:eastAsia="Calibri" w:cstheme="minorHAnsi"/>
        </w:rPr>
        <w:t xml:space="preserve"> Annual Report.</w:t>
      </w:r>
    </w:p>
    <w:p w14:paraId="5E6A46EA" w14:textId="6368E031" w:rsidR="008A0742" w:rsidRPr="00EF69CE" w:rsidRDefault="00DB1D12" w:rsidP="00EF69CE">
      <w:pPr>
        <w:pStyle w:val="BulletList1"/>
        <w:rPr>
          <w:rFonts w:eastAsia="Calibri" w:cstheme="minorHAnsi"/>
        </w:rPr>
      </w:pPr>
      <w:r w:rsidRPr="003073C1">
        <w:rPr>
          <w:rFonts w:eastAsia="Calibri" w:cstheme="minorHAnsi"/>
        </w:rPr>
        <w:t xml:space="preserve">Ensuring that a Link Governor conducts regular monitoring visits and </w:t>
      </w:r>
      <w:r w:rsidR="00661C57" w:rsidRPr="003073C1">
        <w:rPr>
          <w:rFonts w:eastAsia="Calibri" w:cstheme="minorHAnsi"/>
        </w:rPr>
        <w:t>reports</w:t>
      </w:r>
      <w:r w:rsidRPr="003073C1">
        <w:rPr>
          <w:rFonts w:eastAsia="Calibri" w:cstheme="minorHAnsi"/>
        </w:rPr>
        <w:t xml:space="preserve"> to the Board.</w:t>
      </w:r>
      <w:bookmarkStart w:id="2" w:name="_Toc436229804"/>
    </w:p>
    <w:p w14:paraId="2E2F7998" w14:textId="77777777" w:rsidR="008A0742" w:rsidRPr="00DE56A4" w:rsidRDefault="008A0742" w:rsidP="00A96E67">
      <w:pPr>
        <w:pStyle w:val="Heading2"/>
      </w:pPr>
      <w:r w:rsidRPr="00DE56A4">
        <w:t xml:space="preserve">Narrowing Performance Gaps </w:t>
      </w:r>
    </w:p>
    <w:p w14:paraId="6E5875FC" w14:textId="77777777" w:rsidR="008A0742" w:rsidRPr="00EF69CE" w:rsidRDefault="008A0742" w:rsidP="00EF69CE">
      <w:pPr>
        <w:rPr>
          <w:rFonts w:cs="Calibri"/>
        </w:rPr>
      </w:pPr>
      <w:r w:rsidRPr="00EF69CE">
        <w:rPr>
          <w:rFonts w:cs="Calibri"/>
        </w:rPr>
        <w:t xml:space="preserve">There are no significant overall achievement gaps between level 2 86.7% (N/A - 85.8%) and level 3 85.8% (N/A – 82.3%), but there is a </w:t>
      </w:r>
      <w:r w:rsidR="00DB6BFA" w:rsidRPr="00EF69CE">
        <w:rPr>
          <w:rFonts w:cs="Calibri"/>
        </w:rPr>
        <w:t xml:space="preserve">significant </w:t>
      </w:r>
      <w:r w:rsidRPr="00EF69CE">
        <w:rPr>
          <w:rFonts w:cs="Calibri"/>
        </w:rPr>
        <w:t>positive gap for level 1 92.8% (N/A – 95.9%).</w:t>
      </w:r>
    </w:p>
    <w:p w14:paraId="52B34679" w14:textId="77777777" w:rsidR="00DE56A4" w:rsidRPr="00EF69CE" w:rsidRDefault="00DE56A4" w:rsidP="00EF69CE">
      <w:pPr>
        <w:rPr>
          <w:rFonts w:cs="Calibri"/>
        </w:rPr>
      </w:pPr>
    </w:p>
    <w:p w14:paraId="42A36899" w14:textId="77777777" w:rsidR="008A0742" w:rsidRPr="00EF69CE" w:rsidRDefault="008A0742" w:rsidP="00EF69CE">
      <w:pPr>
        <w:rPr>
          <w:rFonts w:cs="Calibri"/>
        </w:rPr>
      </w:pPr>
      <w:r w:rsidRPr="00EF69CE">
        <w:rPr>
          <w:rFonts w:cs="Calibri"/>
        </w:rPr>
        <w:t>There are no significant overall achievement gaps between levels for 16-18 learners, level 1 92.5% (N/A – 91.9%), level 2 84.9% (N/A – 84.3%) and level 3 86.2% (N/A – 82.5%).</w:t>
      </w:r>
    </w:p>
    <w:p w14:paraId="11F08ADB" w14:textId="77777777" w:rsidR="008A0742" w:rsidRPr="00EF69CE" w:rsidRDefault="008A0742" w:rsidP="00EF69CE">
      <w:pPr>
        <w:rPr>
          <w:rFonts w:cs="Calibri"/>
        </w:rPr>
      </w:pPr>
      <w:r w:rsidRPr="00EF69CE">
        <w:rPr>
          <w:rFonts w:cs="Calibri"/>
        </w:rPr>
        <w:t xml:space="preserve">There are no significant overall achievement gaps between levels for 19+ learners, level 1 92.9% (N/A – 97.1%) and level 2 89.4% (N/A – 89%), but there is a gap, albeit not significant, at level 3 80.3% (N/A – 81.8% -1.5%). </w:t>
      </w:r>
    </w:p>
    <w:p w14:paraId="540B9BCB" w14:textId="77777777" w:rsidR="00DE56A4" w:rsidRPr="00EF69CE" w:rsidRDefault="00DE56A4" w:rsidP="00EF69CE">
      <w:pPr>
        <w:rPr>
          <w:rFonts w:cs="Calibri"/>
        </w:rPr>
      </w:pPr>
    </w:p>
    <w:p w14:paraId="5C64A957" w14:textId="77777777" w:rsidR="008A0742" w:rsidRPr="00EF69CE" w:rsidRDefault="00B10DFC" w:rsidP="00EF69CE">
      <w:pPr>
        <w:rPr>
          <w:rFonts w:cs="Calibri"/>
        </w:rPr>
      </w:pPr>
      <w:r w:rsidRPr="00EF69CE">
        <w:rPr>
          <w:rFonts w:cs="Calibri"/>
        </w:rPr>
        <w:t>In classroom-based learners t</w:t>
      </w:r>
      <w:r w:rsidR="008A0742" w:rsidRPr="00EF69CE">
        <w:rPr>
          <w:rFonts w:cs="Calibri"/>
        </w:rPr>
        <w:t>here are no significant achievement gaps between 16-18 males (87.2%) (N/A – 84.8%) and females (85.7%) (N/A – 83.5%) and 19+ males (94.7%) (N/A – 95.9%) and females (86.6%) (N/A – 90.3%) There are no significant gaps in achievement rates between 16-18 classroom-based learners declaring a disability (84.7%) and not declaring a disability (86.9%) and 19+ learners declaring a disability (92.2%) and not declaring a disability (90.5%).</w:t>
      </w:r>
    </w:p>
    <w:p w14:paraId="1CC14C58" w14:textId="77777777" w:rsidR="008A0742" w:rsidRPr="00EF69CE" w:rsidRDefault="008A0742" w:rsidP="00EF69CE">
      <w:pPr>
        <w:rPr>
          <w:rFonts w:cs="Calibri"/>
        </w:rPr>
      </w:pPr>
      <w:r w:rsidRPr="00EF69CE">
        <w:rPr>
          <w:rFonts w:cs="Calibri"/>
        </w:rPr>
        <w:t>There is an achievement gap of 3.4% in achievement rates between white and non-white learners. 16-18 white (86.2%) and non-white (89.6%) and a gap of 2.5% in achievement rates between 19+ white (91.5%) and non-white (89.0%).</w:t>
      </w:r>
    </w:p>
    <w:p w14:paraId="3E9A885D" w14:textId="77777777" w:rsidR="00DE56A4" w:rsidRPr="00EF69CE" w:rsidRDefault="00DE56A4" w:rsidP="00EF69CE">
      <w:pPr>
        <w:rPr>
          <w:rFonts w:cs="Calibri"/>
        </w:rPr>
      </w:pPr>
    </w:p>
    <w:p w14:paraId="496E1AB2" w14:textId="77777777" w:rsidR="008A0742" w:rsidRPr="00EF69CE" w:rsidRDefault="008A0742" w:rsidP="00EF69CE">
      <w:pPr>
        <w:rPr>
          <w:rFonts w:cs="Calibri"/>
        </w:rPr>
      </w:pPr>
      <w:r w:rsidRPr="00EF69CE">
        <w:rPr>
          <w:rFonts w:cs="Calibri"/>
        </w:rPr>
        <w:t>There are no significant gaps in achievement rates between learners in receipt of high needs support and those that are not</w:t>
      </w:r>
      <w:r w:rsidR="002459DA" w:rsidRPr="00EF69CE">
        <w:rPr>
          <w:rFonts w:cs="Calibri"/>
        </w:rPr>
        <w:t>.</w:t>
      </w:r>
      <w:r w:rsidRPr="00EF69CE">
        <w:rPr>
          <w:rFonts w:cs="Calibri"/>
        </w:rPr>
        <w:t xml:space="preserve"> 16-18 in receipt (83.2%) and not (86.8%) and 19+ in receipt (89.8%) and not (91.1%).</w:t>
      </w:r>
    </w:p>
    <w:p w14:paraId="2003005F" w14:textId="77777777" w:rsidR="00DE56A4" w:rsidRPr="00EF69CE" w:rsidRDefault="00DE56A4" w:rsidP="00EF69CE">
      <w:pPr>
        <w:rPr>
          <w:rFonts w:cs="Calibri"/>
        </w:rPr>
      </w:pPr>
    </w:p>
    <w:p w14:paraId="2E3210F5" w14:textId="77777777" w:rsidR="008A0742" w:rsidRPr="00EF69CE" w:rsidRDefault="008A0742" w:rsidP="00EF69CE">
      <w:pPr>
        <w:rPr>
          <w:rFonts w:cs="Calibri"/>
        </w:rPr>
      </w:pPr>
      <w:r w:rsidRPr="00EF69CE">
        <w:rPr>
          <w:rFonts w:cs="Calibri"/>
        </w:rPr>
        <w:t>In apprenticeships there are no achievement gaps by age</w:t>
      </w:r>
      <w:r w:rsidR="002459DA" w:rsidRPr="00EF69CE">
        <w:rPr>
          <w:rFonts w:cs="Calibri"/>
        </w:rPr>
        <w:t xml:space="preserve"> against NA</w:t>
      </w:r>
      <w:r w:rsidRPr="00EF69CE">
        <w:rPr>
          <w:rFonts w:cs="Calibri"/>
        </w:rPr>
        <w:t xml:space="preserve"> between 16-18 performance at 58.7% and 24+ performance at 67.9%, but there is a gap between 19-23 performance at 63%.</w:t>
      </w:r>
    </w:p>
    <w:p w14:paraId="51C155AE" w14:textId="77777777" w:rsidR="008A0742" w:rsidRDefault="008A0742" w:rsidP="00EF69CE">
      <w:pPr>
        <w:rPr>
          <w:rFonts w:cs="Calibri"/>
        </w:rPr>
      </w:pPr>
      <w:r w:rsidRPr="00EF69CE">
        <w:rPr>
          <w:rFonts w:cs="Calibri"/>
        </w:rPr>
        <w:t>Achievement gaps are present in the following groups of apprentices; performance of males (56.7%)</w:t>
      </w:r>
      <w:r w:rsidR="00DE56A4" w:rsidRPr="00EF69CE">
        <w:rPr>
          <w:rFonts w:cs="Calibri"/>
        </w:rPr>
        <w:t xml:space="preserve"> when compared to</w:t>
      </w:r>
      <w:r w:rsidRPr="00EF69CE">
        <w:rPr>
          <w:rFonts w:cs="Calibri"/>
        </w:rPr>
        <w:t xml:space="preserve"> females (69.6%), performance of learners with a declared difficulty/disability/health problem at 74.4% against </w:t>
      </w:r>
      <w:r w:rsidR="00DE56A4" w:rsidRPr="00EF69CE">
        <w:rPr>
          <w:rFonts w:cs="Calibri"/>
        </w:rPr>
        <w:t xml:space="preserve">learners with </w:t>
      </w:r>
      <w:r w:rsidRPr="00EF69CE">
        <w:rPr>
          <w:rFonts w:cs="Calibri"/>
        </w:rPr>
        <w:t>no difficulty/disability/health problem at 61.8%.</w:t>
      </w:r>
      <w:r w:rsidRPr="003073C1">
        <w:rPr>
          <w:rFonts w:cs="Calibri"/>
        </w:rPr>
        <w:t xml:space="preserve"> </w:t>
      </w:r>
    </w:p>
    <w:p w14:paraId="0100C36A" w14:textId="77777777" w:rsidR="002459DA" w:rsidRDefault="002459DA" w:rsidP="00EF69CE">
      <w:pPr>
        <w:rPr>
          <w:rFonts w:cs="Calibri"/>
        </w:rPr>
      </w:pPr>
    </w:p>
    <w:p w14:paraId="15556CC3" w14:textId="4BB64B69" w:rsidR="008A0742" w:rsidRPr="00DE56A4" w:rsidRDefault="002459DA" w:rsidP="00EF69CE">
      <w:r>
        <w:t xml:space="preserve">In most cases differences in performance are spread across a wide range of curriculum areas. </w:t>
      </w:r>
      <w:r w:rsidR="00F66049">
        <w:t>In areas</w:t>
      </w:r>
      <w:r w:rsidR="00A12579">
        <w:t xml:space="preserve"> </w:t>
      </w:r>
      <w:r>
        <w:t>where we can pinpoint specific action required</w:t>
      </w:r>
      <w:r w:rsidR="00A12579">
        <w:t xml:space="preserve"> then bespoke solutions are applied</w:t>
      </w:r>
      <w:r w:rsidR="00DE56A4">
        <w:t>,</w:t>
      </w:r>
      <w:r w:rsidR="00A12579">
        <w:t xml:space="preserve"> for example in </w:t>
      </w:r>
      <w:r>
        <w:t>Digital</w:t>
      </w:r>
      <w:r w:rsidR="00A12579">
        <w:t xml:space="preserve"> Industries on a c</w:t>
      </w:r>
      <w:r>
        <w:t xml:space="preserve">ourse with </w:t>
      </w:r>
      <w:proofErr w:type="gramStart"/>
      <w:r>
        <w:t>a number of</w:t>
      </w:r>
      <w:proofErr w:type="gramEnd"/>
      <w:r>
        <w:t xml:space="preserve"> 16-18 High Needs learners</w:t>
      </w:r>
      <w:r w:rsidR="00A12579">
        <w:t xml:space="preserve"> t</w:t>
      </w:r>
      <w:r>
        <w:t xml:space="preserve">raining is </w:t>
      </w:r>
      <w:r w:rsidR="00F66049">
        <w:t xml:space="preserve">already </w:t>
      </w:r>
      <w:r>
        <w:t xml:space="preserve">underway for the staff in this area to enable them to </w:t>
      </w:r>
      <w:r w:rsidR="00A12579">
        <w:t xml:space="preserve">specifically </w:t>
      </w:r>
      <w:r>
        <w:t>address non- neurotypical</w:t>
      </w:r>
      <w:r w:rsidR="00F66049">
        <w:t xml:space="preserve"> learner needs</w:t>
      </w:r>
      <w:r w:rsidR="00A12579">
        <w:t>.</w:t>
      </w:r>
    </w:p>
    <w:p w14:paraId="188DF891" w14:textId="77777777" w:rsidR="00DB1D12" w:rsidRPr="003073C1" w:rsidRDefault="003073C1" w:rsidP="00EF69CE">
      <w:pPr>
        <w:pStyle w:val="Heading2"/>
        <w:rPr>
          <w:rFonts w:cstheme="minorHAnsi"/>
          <w:szCs w:val="22"/>
        </w:rPr>
      </w:pPr>
      <w:r w:rsidRPr="003073C1">
        <w:rPr>
          <w:rFonts w:cstheme="minorHAnsi"/>
          <w:szCs w:val="22"/>
        </w:rPr>
        <w:lastRenderedPageBreak/>
        <w:t xml:space="preserve">Learners </w:t>
      </w:r>
    </w:p>
    <w:p w14:paraId="19858811" w14:textId="77777777" w:rsidR="00DB1D12" w:rsidRPr="003073C1" w:rsidRDefault="00DB1D12" w:rsidP="00EF69CE">
      <w:pPr>
        <w:rPr>
          <w:rFonts w:eastAsia="Times New Roman" w:cstheme="minorHAnsi"/>
          <w:b/>
        </w:rPr>
      </w:pPr>
      <w:r w:rsidRPr="003073C1">
        <w:rPr>
          <w:rFonts w:eastAsia="Times New Roman" w:cstheme="minorHAnsi"/>
        </w:rPr>
        <w:t xml:space="preserve">Capturing ‘learner voice’ and gathering feedback from learners is central to the college’s aim </w:t>
      </w:r>
      <w:r w:rsidRPr="003073C1">
        <w:rPr>
          <w:rFonts w:cstheme="minorHAnsi"/>
        </w:rPr>
        <w:t xml:space="preserve">of placing learner views at the heart of the college’s </w:t>
      </w:r>
      <w:r w:rsidR="009872F5" w:rsidRPr="003073C1">
        <w:rPr>
          <w:rFonts w:cstheme="minorHAnsi"/>
        </w:rPr>
        <w:t>decision-making</w:t>
      </w:r>
      <w:r w:rsidRPr="003073C1">
        <w:rPr>
          <w:rFonts w:eastAsia="Times New Roman" w:cstheme="minorHAnsi"/>
        </w:rPr>
        <w:t>.</w:t>
      </w:r>
      <w:r w:rsidRPr="003073C1">
        <w:rPr>
          <w:rFonts w:cstheme="minorHAnsi"/>
        </w:rPr>
        <w:t xml:space="preserve"> </w:t>
      </w:r>
      <w:r w:rsidRPr="003073C1">
        <w:rPr>
          <w:rFonts w:eastAsia="Times New Roman" w:cstheme="minorHAnsi"/>
        </w:rPr>
        <w:br/>
      </w:r>
      <w:r w:rsidRPr="003073C1">
        <w:rPr>
          <w:rFonts w:eastAsia="Times New Roman" w:cstheme="minorHAnsi"/>
        </w:rPr>
        <w:br/>
        <w:t>Ways in which we listen to learners:</w:t>
      </w:r>
    </w:p>
    <w:p w14:paraId="32C1A48B" w14:textId="77777777" w:rsidR="00DB1D12" w:rsidRPr="003073C1" w:rsidRDefault="00DB1D12" w:rsidP="00A96E67">
      <w:pPr>
        <w:pStyle w:val="BulletList1"/>
        <w:spacing w:before="0"/>
        <w:rPr>
          <w:rFonts w:cstheme="minorHAnsi"/>
        </w:rPr>
      </w:pPr>
      <w:r w:rsidRPr="003073C1">
        <w:rPr>
          <w:rFonts w:cstheme="minorHAnsi"/>
        </w:rPr>
        <w:t xml:space="preserve">Course </w:t>
      </w:r>
      <w:r w:rsidR="009C48F9" w:rsidRPr="003073C1">
        <w:rPr>
          <w:rFonts w:cstheme="minorHAnsi"/>
        </w:rPr>
        <w:t>r</w:t>
      </w:r>
      <w:r w:rsidRPr="003073C1">
        <w:rPr>
          <w:rFonts w:cstheme="minorHAnsi"/>
        </w:rPr>
        <w:t>epresentatives.</w:t>
      </w:r>
    </w:p>
    <w:p w14:paraId="49D238B5" w14:textId="77777777" w:rsidR="00DB1D12" w:rsidRPr="003073C1" w:rsidRDefault="00DB1D12" w:rsidP="00EF69CE">
      <w:pPr>
        <w:pStyle w:val="BulletList1"/>
        <w:rPr>
          <w:rFonts w:cstheme="minorHAnsi"/>
        </w:rPr>
      </w:pPr>
      <w:r w:rsidRPr="003073C1">
        <w:rPr>
          <w:rFonts w:cstheme="minorHAnsi"/>
        </w:rPr>
        <w:t xml:space="preserve">Departmental </w:t>
      </w:r>
      <w:r w:rsidR="009C48F9" w:rsidRPr="003073C1">
        <w:rPr>
          <w:rFonts w:cstheme="minorHAnsi"/>
        </w:rPr>
        <w:t>r</w:t>
      </w:r>
      <w:r w:rsidRPr="003073C1">
        <w:rPr>
          <w:rFonts w:cstheme="minorHAnsi"/>
        </w:rPr>
        <w:t>epresentatives.</w:t>
      </w:r>
    </w:p>
    <w:p w14:paraId="20D64F89" w14:textId="77777777" w:rsidR="00DB1D12" w:rsidRPr="003073C1" w:rsidRDefault="00DB1D12" w:rsidP="00EF69CE">
      <w:pPr>
        <w:pStyle w:val="BulletList1"/>
        <w:rPr>
          <w:rFonts w:cstheme="minorHAnsi"/>
        </w:rPr>
      </w:pPr>
      <w:r w:rsidRPr="003073C1">
        <w:rPr>
          <w:rFonts w:cstheme="minorHAnsi"/>
        </w:rPr>
        <w:t xml:space="preserve">Learner </w:t>
      </w:r>
      <w:r w:rsidR="009C48F9" w:rsidRPr="003073C1">
        <w:rPr>
          <w:rFonts w:cstheme="minorHAnsi"/>
        </w:rPr>
        <w:t>f</w:t>
      </w:r>
      <w:r w:rsidRPr="003073C1">
        <w:rPr>
          <w:rFonts w:cstheme="minorHAnsi"/>
        </w:rPr>
        <w:t>orums.</w:t>
      </w:r>
    </w:p>
    <w:p w14:paraId="58B5F969" w14:textId="77777777" w:rsidR="00DB1D12" w:rsidRPr="003073C1" w:rsidRDefault="00DB1D12" w:rsidP="00EF69CE">
      <w:pPr>
        <w:pStyle w:val="BulletList1"/>
        <w:rPr>
          <w:rFonts w:cstheme="minorHAnsi"/>
        </w:rPr>
      </w:pPr>
      <w:r w:rsidRPr="003073C1">
        <w:rPr>
          <w:rFonts w:cstheme="minorHAnsi"/>
        </w:rPr>
        <w:t>‘You Said, We Did’</w:t>
      </w:r>
    </w:p>
    <w:p w14:paraId="582E054A" w14:textId="77777777" w:rsidR="00DB1D12" w:rsidRPr="003073C1" w:rsidRDefault="00DB1D12" w:rsidP="00EF69CE">
      <w:pPr>
        <w:pStyle w:val="BulletList1"/>
        <w:rPr>
          <w:rFonts w:cstheme="minorHAnsi"/>
        </w:rPr>
      </w:pPr>
      <w:r w:rsidRPr="003073C1">
        <w:rPr>
          <w:rFonts w:cstheme="minorHAnsi"/>
        </w:rPr>
        <w:t xml:space="preserve">Student Union Committee. </w:t>
      </w:r>
    </w:p>
    <w:p w14:paraId="788DC10B" w14:textId="77777777" w:rsidR="00DB1D12" w:rsidRPr="003073C1" w:rsidRDefault="00DB1D12" w:rsidP="00EF69CE">
      <w:pPr>
        <w:pStyle w:val="BulletList1"/>
        <w:rPr>
          <w:rFonts w:cstheme="minorHAnsi"/>
        </w:rPr>
      </w:pPr>
      <w:r w:rsidRPr="003073C1">
        <w:rPr>
          <w:rFonts w:cstheme="minorHAnsi"/>
        </w:rPr>
        <w:t>Student Governors.</w:t>
      </w:r>
    </w:p>
    <w:p w14:paraId="7133C90A" w14:textId="77777777" w:rsidR="00DB1D12" w:rsidRPr="003073C1" w:rsidRDefault="00DB1D12" w:rsidP="00EF69CE">
      <w:pPr>
        <w:pStyle w:val="BulletList1"/>
        <w:rPr>
          <w:rFonts w:cstheme="minorHAnsi"/>
        </w:rPr>
      </w:pPr>
      <w:r w:rsidRPr="003073C1">
        <w:rPr>
          <w:rFonts w:cstheme="minorHAnsi"/>
        </w:rPr>
        <w:t xml:space="preserve">Learner </w:t>
      </w:r>
      <w:r w:rsidR="009C48F9" w:rsidRPr="003073C1">
        <w:rPr>
          <w:rFonts w:cstheme="minorHAnsi"/>
        </w:rPr>
        <w:t>s</w:t>
      </w:r>
      <w:r w:rsidRPr="003073C1">
        <w:rPr>
          <w:rFonts w:cstheme="minorHAnsi"/>
        </w:rPr>
        <w:t xml:space="preserve">urveys. </w:t>
      </w:r>
    </w:p>
    <w:bookmarkEnd w:id="2"/>
    <w:p w14:paraId="6AB4832F" w14:textId="155C1D2A" w:rsidR="00DB1D12" w:rsidRPr="003073C1" w:rsidRDefault="00182DA9" w:rsidP="00EF69CE">
      <w:pPr>
        <w:pStyle w:val="Heading2"/>
        <w:rPr>
          <w:rFonts w:cstheme="minorHAnsi"/>
          <w:szCs w:val="22"/>
        </w:rPr>
      </w:pPr>
      <w:r>
        <w:rPr>
          <w:rFonts w:cstheme="minorHAnsi"/>
        </w:rPr>
        <w:t>EDI</w:t>
      </w:r>
      <w:r w:rsidRPr="003073C1">
        <w:rPr>
          <w:rFonts w:cstheme="minorHAnsi"/>
        </w:rPr>
        <w:t xml:space="preserve"> </w:t>
      </w:r>
      <w:r w:rsidR="003073C1" w:rsidRPr="003073C1">
        <w:rPr>
          <w:rFonts w:cstheme="minorHAnsi"/>
          <w:szCs w:val="22"/>
        </w:rPr>
        <w:t xml:space="preserve">Visible and Valued </w:t>
      </w:r>
    </w:p>
    <w:p w14:paraId="2A199A56" w14:textId="7726306D" w:rsidR="00DB1D12" w:rsidRPr="003073C1" w:rsidRDefault="00DB1D12" w:rsidP="00A96E67">
      <w:pPr>
        <w:pStyle w:val="BulletList1"/>
        <w:spacing w:before="0"/>
        <w:rPr>
          <w:rFonts w:cstheme="minorHAnsi"/>
        </w:rPr>
      </w:pPr>
      <w:r w:rsidRPr="003073C1">
        <w:rPr>
          <w:rFonts w:cstheme="minorHAnsi"/>
        </w:rPr>
        <w:t xml:space="preserve">All students in all departments complete an </w:t>
      </w:r>
      <w:r w:rsidR="00182DA9">
        <w:rPr>
          <w:rFonts w:cstheme="minorHAnsi"/>
        </w:rPr>
        <w:t>EDI</w:t>
      </w:r>
      <w:r w:rsidRPr="003073C1">
        <w:rPr>
          <w:rFonts w:cstheme="minorHAnsi"/>
        </w:rPr>
        <w:t xml:space="preserve"> induction in term one</w:t>
      </w:r>
      <w:r w:rsidR="00A96E67">
        <w:rPr>
          <w:rFonts w:cstheme="minorHAnsi"/>
        </w:rPr>
        <w:t>.</w:t>
      </w:r>
    </w:p>
    <w:p w14:paraId="33429D2D" w14:textId="6DE30977" w:rsidR="00DB1D12" w:rsidRPr="003073C1" w:rsidRDefault="00DB1D12" w:rsidP="00EF69CE">
      <w:pPr>
        <w:pStyle w:val="BulletList1"/>
        <w:rPr>
          <w:rFonts w:cstheme="minorHAnsi"/>
        </w:rPr>
      </w:pPr>
      <w:r w:rsidRPr="003073C1">
        <w:rPr>
          <w:rFonts w:cstheme="minorHAnsi"/>
        </w:rPr>
        <w:t>Cross college events to pro</w:t>
      </w:r>
      <w:r w:rsidR="00A12579">
        <w:rPr>
          <w:rFonts w:cstheme="minorHAnsi"/>
        </w:rPr>
        <w:t xml:space="preserve">mote </w:t>
      </w:r>
      <w:r w:rsidR="00182DA9" w:rsidRPr="003073C1">
        <w:rPr>
          <w:rFonts w:cstheme="minorHAnsi"/>
        </w:rPr>
        <w:t>equality</w:t>
      </w:r>
      <w:r w:rsidR="00182DA9">
        <w:rPr>
          <w:rFonts w:cstheme="minorHAnsi"/>
        </w:rPr>
        <w:t xml:space="preserve">, </w:t>
      </w:r>
      <w:r w:rsidR="00182DA9" w:rsidRPr="003073C1">
        <w:rPr>
          <w:rFonts w:cstheme="minorHAnsi"/>
        </w:rPr>
        <w:t>diversity</w:t>
      </w:r>
      <w:r w:rsidR="00182DA9">
        <w:rPr>
          <w:rFonts w:cstheme="minorHAnsi"/>
        </w:rPr>
        <w:t xml:space="preserve"> &amp; inclusion</w:t>
      </w:r>
      <w:r w:rsidR="00182DA9" w:rsidRPr="003073C1">
        <w:rPr>
          <w:rFonts w:cstheme="minorHAnsi"/>
        </w:rPr>
        <w:t xml:space="preserve"> </w:t>
      </w:r>
      <w:r w:rsidRPr="003073C1">
        <w:rPr>
          <w:rFonts w:cstheme="minorHAnsi"/>
        </w:rPr>
        <w:t xml:space="preserve">comprehensively address aspects of the </w:t>
      </w:r>
      <w:r w:rsidR="00182DA9" w:rsidRPr="003073C1">
        <w:rPr>
          <w:rFonts w:cstheme="minorHAnsi"/>
        </w:rPr>
        <w:t>equality</w:t>
      </w:r>
      <w:r w:rsidR="00182DA9">
        <w:rPr>
          <w:rFonts w:cstheme="minorHAnsi"/>
        </w:rPr>
        <w:t xml:space="preserve">, </w:t>
      </w:r>
      <w:r w:rsidR="00182DA9" w:rsidRPr="003073C1">
        <w:rPr>
          <w:rFonts w:cstheme="minorHAnsi"/>
        </w:rPr>
        <w:t>diversity</w:t>
      </w:r>
      <w:r w:rsidR="00182DA9">
        <w:rPr>
          <w:rFonts w:cstheme="minorHAnsi"/>
        </w:rPr>
        <w:t xml:space="preserve"> &amp; inclusion</w:t>
      </w:r>
      <w:r w:rsidR="00182DA9" w:rsidRPr="003073C1">
        <w:rPr>
          <w:rFonts w:cstheme="minorHAnsi"/>
        </w:rPr>
        <w:t xml:space="preserve"> </w:t>
      </w:r>
      <w:r w:rsidRPr="003073C1">
        <w:rPr>
          <w:rFonts w:cstheme="minorHAnsi"/>
        </w:rPr>
        <w:t>landscape</w:t>
      </w:r>
      <w:r w:rsidR="00A96E67">
        <w:rPr>
          <w:rFonts w:cstheme="minorHAnsi"/>
        </w:rPr>
        <w:t>.</w:t>
      </w:r>
    </w:p>
    <w:p w14:paraId="1D948936" w14:textId="46644C7C" w:rsidR="00DB1D12" w:rsidRPr="003073C1" w:rsidRDefault="00182DA9" w:rsidP="00EF69CE">
      <w:pPr>
        <w:pStyle w:val="BulletList1"/>
        <w:rPr>
          <w:rFonts w:cstheme="minorHAnsi"/>
        </w:rPr>
      </w:pPr>
      <w:r>
        <w:rPr>
          <w:rFonts w:cstheme="minorHAnsi"/>
        </w:rPr>
        <w:t>EDI</w:t>
      </w:r>
      <w:r w:rsidRPr="003073C1">
        <w:rPr>
          <w:rFonts w:cstheme="minorHAnsi"/>
        </w:rPr>
        <w:t xml:space="preserve"> </w:t>
      </w:r>
      <w:r w:rsidR="00DB1D12" w:rsidRPr="003073C1">
        <w:rPr>
          <w:rFonts w:cstheme="minorHAnsi"/>
        </w:rPr>
        <w:t>is well embedded into the curriculum with excellent levels of promotion</w:t>
      </w:r>
      <w:r w:rsidR="00A96E67">
        <w:rPr>
          <w:rFonts w:cstheme="minorHAnsi"/>
        </w:rPr>
        <w:t>.</w:t>
      </w:r>
    </w:p>
    <w:p w14:paraId="6660A97E" w14:textId="3D559C65" w:rsidR="00DB1D12" w:rsidRPr="003073C1" w:rsidRDefault="00DA5030" w:rsidP="00EF69CE">
      <w:pPr>
        <w:pStyle w:val="BulletList1"/>
        <w:rPr>
          <w:rFonts w:cstheme="minorHAnsi"/>
        </w:rPr>
      </w:pPr>
      <w:r w:rsidRPr="003073C1">
        <w:rPr>
          <w:rFonts w:cstheme="minorHAnsi"/>
        </w:rPr>
        <w:t>College systems are</w:t>
      </w:r>
      <w:r w:rsidR="00DB1D12" w:rsidRPr="003073C1">
        <w:rPr>
          <w:rFonts w:cstheme="minorHAnsi"/>
        </w:rPr>
        <w:t xml:space="preserve"> updated to share examples of good practice and all resources from themed days are shared across college</w:t>
      </w:r>
      <w:r w:rsidR="00A96E67">
        <w:rPr>
          <w:rFonts w:cstheme="minorHAnsi"/>
        </w:rPr>
        <w:t>.</w:t>
      </w:r>
      <w:r w:rsidR="00DB1D12" w:rsidRPr="003073C1">
        <w:rPr>
          <w:rFonts w:cstheme="minorHAnsi"/>
        </w:rPr>
        <w:t xml:space="preserve"> </w:t>
      </w:r>
    </w:p>
    <w:p w14:paraId="25532E8D" w14:textId="13565126" w:rsidR="008F59A8" w:rsidRPr="00A12579" w:rsidRDefault="00981E32" w:rsidP="00EF69CE">
      <w:pPr>
        <w:pStyle w:val="BulletList1"/>
        <w:rPr>
          <w:rFonts w:cstheme="minorHAnsi"/>
        </w:rPr>
      </w:pPr>
      <w:r w:rsidRPr="00A12579">
        <w:rPr>
          <w:rFonts w:cstheme="minorHAnsi"/>
        </w:rPr>
        <w:t>All staff undertake induction training in ED</w:t>
      </w:r>
      <w:r w:rsidR="00182DA9">
        <w:rPr>
          <w:rFonts w:cstheme="minorHAnsi"/>
        </w:rPr>
        <w:t>I</w:t>
      </w:r>
      <w:r w:rsidR="00BA35AE" w:rsidRPr="00A12579">
        <w:rPr>
          <w:rFonts w:cstheme="minorHAnsi"/>
        </w:rPr>
        <w:t>.</w:t>
      </w:r>
      <w:r w:rsidR="009872F5" w:rsidRPr="00A12579">
        <w:rPr>
          <w:rFonts w:cstheme="minorHAnsi"/>
        </w:rPr>
        <w:t xml:space="preserve"> More advanced training is offered on a regular </w:t>
      </w:r>
      <w:r w:rsidR="00A12579" w:rsidRPr="00A12579">
        <w:rPr>
          <w:rFonts w:cstheme="minorHAnsi"/>
        </w:rPr>
        <w:t>basis</w:t>
      </w:r>
      <w:r w:rsidR="00A12579" w:rsidRPr="003073C1">
        <w:rPr>
          <w:rFonts w:cstheme="minorHAnsi"/>
        </w:rPr>
        <w:t>.</w:t>
      </w:r>
      <w:r w:rsidR="00A12579" w:rsidRPr="00A12579">
        <w:rPr>
          <w:rFonts w:cstheme="minorHAnsi"/>
        </w:rPr>
        <w:t xml:space="preserve"> Specific</w:t>
      </w:r>
      <w:r w:rsidR="008F59A8" w:rsidRPr="00A12579">
        <w:rPr>
          <w:rFonts w:cstheme="minorHAnsi"/>
        </w:rPr>
        <w:t xml:space="preserve"> issues are addressed in a timely </w:t>
      </w:r>
      <w:proofErr w:type="gramStart"/>
      <w:r w:rsidR="008F59A8" w:rsidRPr="00A12579">
        <w:rPr>
          <w:rFonts w:cstheme="minorHAnsi"/>
        </w:rPr>
        <w:t>manner</w:t>
      </w:r>
      <w:r w:rsidR="00A12579" w:rsidRPr="00A12579">
        <w:rPr>
          <w:rFonts w:cstheme="minorHAnsi"/>
        </w:rPr>
        <w:t>;</w:t>
      </w:r>
      <w:proofErr w:type="gramEnd"/>
      <w:r w:rsidR="00A12579" w:rsidRPr="00A12579">
        <w:rPr>
          <w:rFonts w:cstheme="minorHAnsi"/>
        </w:rPr>
        <w:t xml:space="preserve"> for example the use of pronouns</w:t>
      </w:r>
      <w:r w:rsidR="00A96E67">
        <w:rPr>
          <w:rFonts w:cstheme="minorHAnsi"/>
        </w:rPr>
        <w:t>.</w:t>
      </w:r>
    </w:p>
    <w:p w14:paraId="087900CF" w14:textId="77777777" w:rsidR="00DB1D12" w:rsidRPr="003073C1" w:rsidRDefault="00DE56A4" w:rsidP="00EF69CE">
      <w:pPr>
        <w:pStyle w:val="Heading2"/>
        <w:rPr>
          <w:rFonts w:cstheme="minorHAnsi"/>
          <w:szCs w:val="22"/>
        </w:rPr>
      </w:pPr>
      <w:bookmarkStart w:id="3" w:name="_Toc436229807"/>
      <w:r>
        <w:rPr>
          <w:rFonts w:cstheme="minorHAnsi"/>
          <w:szCs w:val="22"/>
        </w:rPr>
        <w:t>Examples of Equality, D</w:t>
      </w:r>
      <w:r w:rsidRPr="003073C1">
        <w:rPr>
          <w:rFonts w:cstheme="minorHAnsi"/>
          <w:szCs w:val="22"/>
        </w:rPr>
        <w:t>iversity</w:t>
      </w:r>
      <w:r>
        <w:rPr>
          <w:rFonts w:cstheme="minorHAnsi"/>
          <w:szCs w:val="22"/>
        </w:rPr>
        <w:t xml:space="preserve"> &amp; Inclusion</w:t>
      </w:r>
      <w:r w:rsidRPr="003073C1">
        <w:rPr>
          <w:rFonts w:cstheme="minorHAnsi"/>
          <w:szCs w:val="22"/>
        </w:rPr>
        <w:t xml:space="preserve"> </w:t>
      </w:r>
      <w:bookmarkEnd w:id="3"/>
      <w:r w:rsidRPr="003073C1">
        <w:rPr>
          <w:rFonts w:cstheme="minorHAnsi"/>
          <w:szCs w:val="22"/>
        </w:rPr>
        <w:t>in action</w:t>
      </w:r>
    </w:p>
    <w:p w14:paraId="2520CC63" w14:textId="286BE306" w:rsidR="00DE56A4" w:rsidRPr="00EF69CE" w:rsidRDefault="00A12579" w:rsidP="00A96E67">
      <w:pPr>
        <w:pStyle w:val="BulletList1"/>
        <w:spacing w:before="0"/>
      </w:pPr>
      <w:r w:rsidRPr="00EF69CE">
        <w:t>S</w:t>
      </w:r>
      <w:r w:rsidR="00943574" w:rsidRPr="00EF69CE">
        <w:t xml:space="preserve">tudents </w:t>
      </w:r>
      <w:r w:rsidRPr="00EF69CE">
        <w:t xml:space="preserve">continued our </w:t>
      </w:r>
      <w:r w:rsidR="00943574" w:rsidRPr="00EF69CE">
        <w:t>participat</w:t>
      </w:r>
      <w:r w:rsidRPr="00EF69CE">
        <w:t>ion</w:t>
      </w:r>
      <w:r w:rsidR="00943574" w:rsidRPr="00EF69CE">
        <w:t xml:space="preserve"> in the Student Commission for Racial Justice</w:t>
      </w:r>
      <w:r w:rsidR="00A96E67">
        <w:t>.</w:t>
      </w:r>
    </w:p>
    <w:p w14:paraId="764DAB7F" w14:textId="77777777" w:rsidR="00DE56A4" w:rsidRPr="00EF69CE" w:rsidRDefault="00DE56A4" w:rsidP="00EF69CE">
      <w:pPr>
        <w:pStyle w:val="BulletList1"/>
      </w:pPr>
      <w:r w:rsidRPr="00EF69CE">
        <w:t>At Wigfield Farm students used a series of near pods to explore EDI topics. These included transgender awareness, celebrations around the world, racial literacy, autism awareness and cultural heritage. </w:t>
      </w:r>
    </w:p>
    <w:p w14:paraId="56CEBE2E" w14:textId="543BB89F" w:rsidR="00EF69CE" w:rsidRPr="00EF69CE" w:rsidRDefault="00DE56A4" w:rsidP="00EF69CE">
      <w:pPr>
        <w:pStyle w:val="BulletList1"/>
      </w:pPr>
      <w:r w:rsidRPr="00EF69CE">
        <w:t>In Foundation Learning students tried to solve the question ‘how can we make people more conscious about unconscious bias?’ The learners did this over a half term and researched what this was and examples of this in practice. They then created a social media campaign to make people more aware of unconscious bias.</w:t>
      </w:r>
    </w:p>
    <w:p w14:paraId="3F9AD261" w14:textId="77777777" w:rsidR="00943574" w:rsidRPr="00EF69CE" w:rsidRDefault="00943574" w:rsidP="00EF69CE">
      <w:pPr>
        <w:pStyle w:val="BulletList1"/>
      </w:pPr>
      <w:r w:rsidRPr="00EF69CE">
        <w:t>Greater access to person centred therapeutic practice was created through new partnerships with local agencies</w:t>
      </w:r>
      <w:r w:rsidR="003073C1" w:rsidRPr="00EF69CE">
        <w:t>.</w:t>
      </w:r>
    </w:p>
    <w:p w14:paraId="31859FE4" w14:textId="4DF129C2" w:rsidR="00981E32" w:rsidRPr="00EF69CE" w:rsidRDefault="00DA5030" w:rsidP="00EF69CE">
      <w:pPr>
        <w:pStyle w:val="BulletList1"/>
      </w:pPr>
      <w:r w:rsidRPr="00EF69CE">
        <w:t>Eve</w:t>
      </w:r>
      <w:r w:rsidR="00943574" w:rsidRPr="00EF69CE">
        <w:t xml:space="preserve">ry department </w:t>
      </w:r>
      <w:r w:rsidR="00A12579" w:rsidRPr="00EF69CE">
        <w:t xml:space="preserve">has </w:t>
      </w:r>
      <w:r w:rsidR="00943574" w:rsidRPr="00EF69CE">
        <w:t xml:space="preserve">staff </w:t>
      </w:r>
      <w:r w:rsidR="00A12579" w:rsidRPr="00EF69CE">
        <w:t>trained in the issues of Black Lives Matter</w:t>
      </w:r>
      <w:r w:rsidR="00A96E67">
        <w:t>.</w:t>
      </w:r>
    </w:p>
    <w:p w14:paraId="6E53C0B2" w14:textId="37DBC361" w:rsidR="000D6077" w:rsidRPr="00EF69CE" w:rsidRDefault="006F56FE" w:rsidP="00EF69CE">
      <w:pPr>
        <w:pStyle w:val="BulletList1"/>
      </w:pPr>
      <w:r w:rsidRPr="00EF69CE">
        <w:t>Staff participated in</w:t>
      </w:r>
      <w:r w:rsidR="00045231" w:rsidRPr="00EF69CE">
        <w:t xml:space="preserve"> activities that developed their </w:t>
      </w:r>
      <w:r w:rsidRPr="00EF69CE">
        <w:t xml:space="preserve">understanding of </w:t>
      </w:r>
      <w:r w:rsidR="00A12579" w:rsidRPr="00EF69CE">
        <w:t>hearing loss and assistive technologies</w:t>
      </w:r>
      <w:r w:rsidR="00A96E67">
        <w:t>.</w:t>
      </w:r>
    </w:p>
    <w:p w14:paraId="1E1468D3" w14:textId="77777777" w:rsidR="00A331BF" w:rsidRPr="00EF69CE" w:rsidRDefault="00DE56A4" w:rsidP="00EF69CE">
      <w:pPr>
        <w:pStyle w:val="BulletList1"/>
      </w:pPr>
      <w:r w:rsidRPr="00EF69CE">
        <w:t>Our Discover Digital Team conducted training in assistive technology such as using transcripts on recordings, Immersive Reader and changing the colour of documents that are shared with student to work on through teams such as within class notebook.</w:t>
      </w:r>
    </w:p>
    <w:p w14:paraId="5EED6437" w14:textId="7124EC75" w:rsidR="00F157FC" w:rsidRPr="003073C1" w:rsidRDefault="003073C1" w:rsidP="00EF69CE">
      <w:pPr>
        <w:rPr>
          <w:rStyle w:val="Heading2Char"/>
          <w:rFonts w:eastAsiaTheme="minorEastAsia" w:cstheme="minorHAnsi"/>
          <w:szCs w:val="22"/>
        </w:rPr>
      </w:pPr>
      <w:r w:rsidRPr="003073C1">
        <w:rPr>
          <w:rStyle w:val="Heading2Char"/>
          <w:rFonts w:eastAsiaTheme="minorEastAsia" w:cstheme="minorHAnsi"/>
          <w:szCs w:val="22"/>
        </w:rPr>
        <w:t xml:space="preserve">Staffing </w:t>
      </w:r>
    </w:p>
    <w:p w14:paraId="542A80F3" w14:textId="77777777" w:rsidR="00943574" w:rsidRPr="003073C1" w:rsidRDefault="001D506F" w:rsidP="00EF69CE">
      <w:r>
        <w:t>7</w:t>
      </w:r>
      <w:r w:rsidR="00943574" w:rsidRPr="003073C1">
        <w:t xml:space="preserve">.9% of staff have declared a disability with the highest proportion being </w:t>
      </w:r>
      <w:r w:rsidR="002F1FF0">
        <w:t>mental health</w:t>
      </w:r>
      <w:r w:rsidR="00943574" w:rsidRPr="003073C1">
        <w:t xml:space="preserve"> and the lowest being </w:t>
      </w:r>
      <w:r w:rsidR="002F1FF0">
        <w:t>physical impairment</w:t>
      </w:r>
      <w:r w:rsidR="003073C1" w:rsidRPr="003073C1">
        <w:t>.</w:t>
      </w:r>
    </w:p>
    <w:p w14:paraId="7DA1C47D" w14:textId="77777777" w:rsidR="00943574" w:rsidRPr="003073C1" w:rsidRDefault="00943574" w:rsidP="00EF69CE"/>
    <w:p w14:paraId="41FBE3ED" w14:textId="77777777" w:rsidR="00943574" w:rsidRPr="003073C1" w:rsidRDefault="00943574" w:rsidP="00EF69CE">
      <w:r w:rsidRPr="003073C1">
        <w:t>4% of staff are from a BME background, compared with 3.9% in Barnsley</w:t>
      </w:r>
      <w:r w:rsidR="003073C1" w:rsidRPr="003073C1">
        <w:t>.</w:t>
      </w:r>
    </w:p>
    <w:p w14:paraId="7763BFF4" w14:textId="77777777" w:rsidR="00943574" w:rsidRPr="003073C1" w:rsidRDefault="00943574" w:rsidP="00EF69CE"/>
    <w:p w14:paraId="48C7F112" w14:textId="77777777" w:rsidR="00943574" w:rsidRPr="003073C1" w:rsidRDefault="001D506F" w:rsidP="00EF69CE">
      <w:r>
        <w:t>22.28</w:t>
      </w:r>
      <w:r w:rsidR="00943574" w:rsidRPr="003073C1">
        <w:t xml:space="preserve">% of staff are age 16-29, </w:t>
      </w:r>
      <w:r>
        <w:t>25.16</w:t>
      </w:r>
      <w:r w:rsidR="00943574" w:rsidRPr="003073C1">
        <w:t xml:space="preserve">% of staff are age 30-39 with </w:t>
      </w:r>
      <w:r>
        <w:t>23.4</w:t>
      </w:r>
      <w:r w:rsidR="00A12579">
        <w:t>% aged 40-59,</w:t>
      </w:r>
      <w:r w:rsidR="00943574" w:rsidRPr="003073C1">
        <w:t xml:space="preserve"> </w:t>
      </w:r>
      <w:r>
        <w:t>19.9%</w:t>
      </w:r>
      <w:r w:rsidR="00943574" w:rsidRPr="003073C1">
        <w:t xml:space="preserve"> are aged 50-59 and </w:t>
      </w:r>
      <w:r>
        <w:t>9.26</w:t>
      </w:r>
      <w:r w:rsidR="00943574" w:rsidRPr="003073C1">
        <w:t xml:space="preserve">% are age 60 plus. </w:t>
      </w:r>
    </w:p>
    <w:p w14:paraId="39781C14" w14:textId="77777777" w:rsidR="00943574" w:rsidRPr="003073C1" w:rsidRDefault="00943574" w:rsidP="00EF69CE"/>
    <w:p w14:paraId="4FD9EB41" w14:textId="77777777" w:rsidR="00943574" w:rsidRPr="003073C1" w:rsidRDefault="001D506F" w:rsidP="00EF69CE">
      <w:r>
        <w:t>40</w:t>
      </w:r>
      <w:r w:rsidR="00943574" w:rsidRPr="003073C1">
        <w:t xml:space="preserve">% of staff identify as Christian with the next highest identification being Muslim at </w:t>
      </w:r>
      <w:r w:rsidR="004D7ACD">
        <w:t>0.9</w:t>
      </w:r>
      <w:r w:rsidR="00943574" w:rsidRPr="003073C1">
        <w:t>%. 5</w:t>
      </w:r>
      <w:r w:rsidR="004D7ACD">
        <w:t>0.5</w:t>
      </w:r>
      <w:r w:rsidR="00943574" w:rsidRPr="003073C1">
        <w:t>% of staff ‘prefer not to say’</w:t>
      </w:r>
      <w:r w:rsidR="003073C1" w:rsidRPr="003073C1">
        <w:t>.</w:t>
      </w:r>
    </w:p>
    <w:p w14:paraId="7622FB18" w14:textId="77777777" w:rsidR="00943574" w:rsidRPr="003073C1" w:rsidRDefault="00943574" w:rsidP="00EF69CE"/>
    <w:p w14:paraId="3707C9CC" w14:textId="77777777" w:rsidR="00943574" w:rsidRPr="003073C1" w:rsidRDefault="004D7ACD" w:rsidP="00EF69CE">
      <w:pPr>
        <w:rPr>
          <w:rStyle w:val="Heading2Char"/>
          <w:rFonts w:eastAsiaTheme="minorEastAsia" w:cstheme="minorBidi"/>
          <w:b w:val="0"/>
          <w:bCs w:val="0"/>
          <w:szCs w:val="22"/>
        </w:rPr>
      </w:pPr>
      <w:r>
        <w:t>80</w:t>
      </w:r>
      <w:r w:rsidR="00943574" w:rsidRPr="003073C1">
        <w:t xml:space="preserve">% of staff identify as Heterosexual and </w:t>
      </w:r>
      <w:r>
        <w:t>17.2</w:t>
      </w:r>
      <w:r w:rsidR="00943574" w:rsidRPr="003073C1">
        <w:t xml:space="preserve">% did not disclose. </w:t>
      </w:r>
      <w:r>
        <w:t>3.8</w:t>
      </w:r>
      <w:r w:rsidR="00943574" w:rsidRPr="003073C1">
        <w:t xml:space="preserve">% identify as Lesbian, Gay or Bisexual. </w:t>
      </w:r>
    </w:p>
    <w:p w14:paraId="40D5572C" w14:textId="77777777" w:rsidR="00943574" w:rsidRPr="003073C1" w:rsidRDefault="00943574" w:rsidP="00EF69CE">
      <w:pPr>
        <w:rPr>
          <w:rStyle w:val="Heading2Char"/>
          <w:rFonts w:eastAsiaTheme="minorEastAsia" w:cstheme="minorHAnsi"/>
          <w:szCs w:val="22"/>
        </w:rPr>
      </w:pPr>
    </w:p>
    <w:p w14:paraId="537E1870" w14:textId="254BC0B2" w:rsidR="00BA35AE" w:rsidRPr="003073C1" w:rsidRDefault="00DB1D12" w:rsidP="00EF69CE">
      <w:pPr>
        <w:rPr>
          <w:rFonts w:eastAsia="Times New Roman" w:cstheme="minorHAnsi"/>
        </w:rPr>
      </w:pPr>
      <w:r w:rsidRPr="003073C1">
        <w:rPr>
          <w:rFonts w:cstheme="minorHAnsi"/>
        </w:rPr>
        <w:t xml:space="preserve">Training that is delivered to recruiting managers includes specific references to the </w:t>
      </w:r>
      <w:r w:rsidRPr="003073C1">
        <w:rPr>
          <w:rFonts w:cstheme="minorHAnsi"/>
          <w:i/>
        </w:rPr>
        <w:t>Equality Act (2010)</w:t>
      </w:r>
      <w:r w:rsidRPr="003073C1">
        <w:rPr>
          <w:rFonts w:cstheme="minorHAnsi"/>
        </w:rPr>
        <w:t xml:space="preserve"> and avoiding discrimination throughout the process. Examples of direct, indirect, associative and perceptive discrimination are discussed and highlighted.  The college’s commitment to </w:t>
      </w:r>
      <w:r w:rsidR="00182DA9" w:rsidRPr="003073C1">
        <w:rPr>
          <w:rFonts w:cstheme="minorHAnsi"/>
        </w:rPr>
        <w:t>equality</w:t>
      </w:r>
      <w:r w:rsidR="00182DA9">
        <w:rPr>
          <w:rFonts w:cstheme="minorHAnsi"/>
        </w:rPr>
        <w:t xml:space="preserve">, </w:t>
      </w:r>
      <w:r w:rsidR="00182DA9" w:rsidRPr="003073C1">
        <w:rPr>
          <w:rFonts w:cstheme="minorHAnsi"/>
        </w:rPr>
        <w:t>diversity</w:t>
      </w:r>
      <w:r w:rsidR="00182DA9">
        <w:rPr>
          <w:rFonts w:cstheme="minorHAnsi"/>
        </w:rPr>
        <w:t xml:space="preserve"> &amp; inclusion</w:t>
      </w:r>
      <w:r w:rsidR="00182DA9" w:rsidRPr="003073C1">
        <w:rPr>
          <w:rFonts w:cstheme="minorHAnsi"/>
        </w:rPr>
        <w:t xml:space="preserve"> </w:t>
      </w:r>
      <w:r w:rsidRPr="003073C1">
        <w:rPr>
          <w:rFonts w:cstheme="minorHAnsi"/>
        </w:rPr>
        <w:t xml:space="preserve">is publicised on all recruitment materials. </w:t>
      </w:r>
    </w:p>
    <w:p w14:paraId="277C5848" w14:textId="77777777" w:rsidR="00DB1D12" w:rsidRPr="003073C1" w:rsidRDefault="00DB1D12" w:rsidP="00EF69CE">
      <w:pPr>
        <w:rPr>
          <w:rFonts w:cstheme="minorHAnsi"/>
        </w:rPr>
      </w:pPr>
      <w:r w:rsidRPr="003073C1">
        <w:rPr>
          <w:rFonts w:cstheme="minorHAnsi"/>
        </w:rPr>
        <w:t> </w:t>
      </w:r>
    </w:p>
    <w:p w14:paraId="68538298" w14:textId="67B84B5B" w:rsidR="00DB1D12" w:rsidRPr="003073C1" w:rsidRDefault="00182DA9" w:rsidP="00EF69CE">
      <w:pPr>
        <w:rPr>
          <w:rFonts w:cstheme="minorHAnsi"/>
        </w:rPr>
      </w:pPr>
      <w:r>
        <w:rPr>
          <w:rFonts w:cstheme="minorHAnsi"/>
        </w:rPr>
        <w:t>E</w:t>
      </w:r>
      <w:r w:rsidRPr="003073C1">
        <w:rPr>
          <w:rFonts w:cstheme="minorHAnsi"/>
        </w:rPr>
        <w:t>quality</w:t>
      </w:r>
      <w:r>
        <w:rPr>
          <w:rFonts w:cstheme="minorHAnsi"/>
        </w:rPr>
        <w:t xml:space="preserve">, </w:t>
      </w:r>
      <w:r w:rsidRPr="003073C1">
        <w:rPr>
          <w:rFonts w:cstheme="minorHAnsi"/>
        </w:rPr>
        <w:t>diversity</w:t>
      </w:r>
      <w:r>
        <w:rPr>
          <w:rFonts w:cstheme="minorHAnsi"/>
        </w:rPr>
        <w:t xml:space="preserve"> &amp; inclusion</w:t>
      </w:r>
      <w:r w:rsidRPr="003073C1">
        <w:rPr>
          <w:rFonts w:cstheme="minorHAnsi"/>
        </w:rPr>
        <w:t xml:space="preserve"> </w:t>
      </w:r>
      <w:r w:rsidR="00DB1D12" w:rsidRPr="003073C1">
        <w:rPr>
          <w:rFonts w:cstheme="minorHAnsi"/>
        </w:rPr>
        <w:t>information that is provided by candidates is not available to shortlisting managers and can only be viewed by Human Resources (HR). At shortlisting stage, names of candidates are removed to prevent any possibility of discrimination</w:t>
      </w:r>
      <w:r w:rsidR="006C30D5" w:rsidRPr="003073C1">
        <w:rPr>
          <w:rFonts w:cstheme="minorHAnsi"/>
        </w:rPr>
        <w:t xml:space="preserve"> or bias</w:t>
      </w:r>
      <w:r w:rsidR="00DB1D12" w:rsidRPr="003073C1">
        <w:rPr>
          <w:rFonts w:cstheme="minorHAnsi"/>
        </w:rPr>
        <w:t>.  </w:t>
      </w:r>
    </w:p>
    <w:p w14:paraId="66C5E326" w14:textId="77777777" w:rsidR="00DB1D12" w:rsidRPr="003073C1" w:rsidRDefault="00DB1D12" w:rsidP="00EF69CE">
      <w:pPr>
        <w:rPr>
          <w:rFonts w:cstheme="minorHAnsi"/>
        </w:rPr>
      </w:pPr>
    </w:p>
    <w:p w14:paraId="50A81227" w14:textId="77777777" w:rsidR="00DB1D12" w:rsidRPr="003073C1" w:rsidRDefault="006C30D5" w:rsidP="00EF69CE">
      <w:pPr>
        <w:rPr>
          <w:rFonts w:cstheme="minorHAnsi"/>
        </w:rPr>
      </w:pPr>
      <w:r w:rsidRPr="003073C1">
        <w:rPr>
          <w:rFonts w:cstheme="minorHAnsi"/>
        </w:rPr>
        <w:t xml:space="preserve">The college has retained its </w:t>
      </w:r>
      <w:r w:rsidR="00DB1D12" w:rsidRPr="003073C1">
        <w:rPr>
          <w:rFonts w:cstheme="minorHAnsi"/>
        </w:rPr>
        <w:t>‘</w:t>
      </w:r>
      <w:r w:rsidR="004D7ACD">
        <w:rPr>
          <w:rFonts w:cstheme="minorHAnsi"/>
        </w:rPr>
        <w:t>Disability Confident</w:t>
      </w:r>
      <w:r w:rsidR="00DB1D12" w:rsidRPr="003073C1">
        <w:rPr>
          <w:rFonts w:cstheme="minorHAnsi"/>
        </w:rPr>
        <w:t xml:space="preserve"> status which is reviewed every year. This includes a commitment to interview any disabled candidate who meets the minimum essential criteria. This is monitored by HR and shortlisting managers are advised accordingly. </w:t>
      </w:r>
    </w:p>
    <w:p w14:paraId="10BD10CC" w14:textId="7FA4A6BC" w:rsidR="004E6D67" w:rsidRPr="003073C1" w:rsidRDefault="00DB1D12" w:rsidP="00EF69CE">
      <w:pPr>
        <w:rPr>
          <w:rFonts w:cstheme="minorHAnsi"/>
        </w:rPr>
      </w:pPr>
      <w:r w:rsidRPr="003073C1">
        <w:rPr>
          <w:rFonts w:cstheme="minorHAnsi"/>
        </w:rPr>
        <w:t>Candidates invited to interview are asked if any adjustments are required to support and enable them to attend. Medical information is not requested until an offer of employment has been made.</w:t>
      </w:r>
    </w:p>
    <w:p w14:paraId="403A0ACC" w14:textId="77777777" w:rsidR="00DB1D12" w:rsidRPr="003073C1" w:rsidRDefault="00DB1D12" w:rsidP="00EF69CE">
      <w:pPr>
        <w:rPr>
          <w:rFonts w:cstheme="minorHAnsi"/>
        </w:rPr>
      </w:pPr>
    </w:p>
    <w:p w14:paraId="0DBCFFCA" w14:textId="5ACBC43C" w:rsidR="00DB1D12" w:rsidRDefault="00DB1D12" w:rsidP="00EF69CE">
      <w:pPr>
        <w:rPr>
          <w:rFonts w:eastAsia="Times New Roman" w:cstheme="minorHAnsi"/>
        </w:rPr>
      </w:pPr>
      <w:r w:rsidRPr="003073C1">
        <w:rPr>
          <w:rFonts w:eastAsia="Times New Roman" w:cstheme="minorHAnsi"/>
        </w:rPr>
        <w:t xml:space="preserve">All new staff must complete an online </w:t>
      </w:r>
      <w:r w:rsidR="00182DA9" w:rsidRPr="003073C1">
        <w:rPr>
          <w:rFonts w:cstheme="minorHAnsi"/>
        </w:rPr>
        <w:t>equality</w:t>
      </w:r>
      <w:r w:rsidR="00182DA9">
        <w:rPr>
          <w:rFonts w:cstheme="minorHAnsi"/>
        </w:rPr>
        <w:t xml:space="preserve">, </w:t>
      </w:r>
      <w:r w:rsidR="00182DA9" w:rsidRPr="003073C1">
        <w:rPr>
          <w:rFonts w:cstheme="minorHAnsi"/>
        </w:rPr>
        <w:t>diversity</w:t>
      </w:r>
      <w:r w:rsidR="00182DA9">
        <w:rPr>
          <w:rFonts w:cstheme="minorHAnsi"/>
        </w:rPr>
        <w:t xml:space="preserve"> &amp; inclusion</w:t>
      </w:r>
      <w:r w:rsidR="00182DA9" w:rsidRPr="003073C1">
        <w:rPr>
          <w:rFonts w:cstheme="minorHAnsi"/>
        </w:rPr>
        <w:t xml:space="preserve"> </w:t>
      </w:r>
      <w:r w:rsidRPr="003073C1">
        <w:rPr>
          <w:rFonts w:eastAsia="Times New Roman" w:cstheme="minorHAnsi"/>
        </w:rPr>
        <w:t xml:space="preserve">training module before they commence employment.  Staff must also attend the induction programme where there is a dedicated mandatory </w:t>
      </w:r>
      <w:r w:rsidR="007667CC">
        <w:rPr>
          <w:rFonts w:eastAsia="Times New Roman" w:cstheme="minorHAnsi"/>
        </w:rPr>
        <w:t>equality,</w:t>
      </w:r>
      <w:r w:rsidR="006C30D5" w:rsidRPr="003073C1">
        <w:rPr>
          <w:rFonts w:eastAsia="Times New Roman" w:cstheme="minorHAnsi"/>
        </w:rPr>
        <w:t xml:space="preserve"> diversity </w:t>
      </w:r>
      <w:r w:rsidR="007667CC">
        <w:rPr>
          <w:rFonts w:eastAsia="Times New Roman" w:cstheme="minorHAnsi"/>
        </w:rPr>
        <w:t xml:space="preserve">and inclusion </w:t>
      </w:r>
      <w:r w:rsidR="006C30D5" w:rsidRPr="003073C1">
        <w:rPr>
          <w:rFonts w:eastAsia="Times New Roman" w:cstheme="minorHAnsi"/>
        </w:rPr>
        <w:t>ses</w:t>
      </w:r>
      <w:r w:rsidR="007667CC">
        <w:rPr>
          <w:rFonts w:eastAsia="Times New Roman" w:cstheme="minorHAnsi"/>
        </w:rPr>
        <w:t>sion.</w:t>
      </w:r>
    </w:p>
    <w:p w14:paraId="26ADAD65" w14:textId="77777777" w:rsidR="004E6D67" w:rsidRDefault="004E6D67" w:rsidP="00EF69CE">
      <w:pPr>
        <w:rPr>
          <w:rFonts w:eastAsia="Times New Roman" w:cstheme="minorHAnsi"/>
        </w:rPr>
      </w:pPr>
    </w:p>
    <w:p w14:paraId="41B62306" w14:textId="6A9D7421" w:rsidR="004E6D67" w:rsidRPr="00EF69CE" w:rsidRDefault="004E6D67" w:rsidP="00EF69CE">
      <w:pPr>
        <w:pStyle w:val="Heading2"/>
      </w:pPr>
      <w:r w:rsidRPr="00F157FC">
        <w:t>Governors</w:t>
      </w:r>
    </w:p>
    <w:p w14:paraId="036A766C" w14:textId="77777777" w:rsidR="004E6D67" w:rsidRDefault="004E6D67" w:rsidP="00EF69CE">
      <w:pPr>
        <w:rPr>
          <w:rFonts w:eastAsia="Times New Roman" w:cstheme="minorHAnsi"/>
        </w:rPr>
      </w:pPr>
      <w:r>
        <w:rPr>
          <w:rFonts w:eastAsia="Times New Roman" w:cstheme="minorHAnsi"/>
        </w:rPr>
        <w:t xml:space="preserve">Our Governing Body </w:t>
      </w:r>
      <w:r w:rsidR="00F157FC">
        <w:rPr>
          <w:rFonts w:eastAsia="Times New Roman" w:cstheme="minorHAnsi"/>
        </w:rPr>
        <w:t>is 50% male and 50% female. 94% white, 6% other (or global majority) and 83% being in the age group 45+</w:t>
      </w:r>
    </w:p>
    <w:p w14:paraId="11D261AD" w14:textId="77777777" w:rsidR="00DB1D12" w:rsidRPr="003073C1" w:rsidRDefault="00DB1D12" w:rsidP="00EF69CE">
      <w:pPr>
        <w:rPr>
          <w:rFonts w:eastAsia="Times New Roman" w:cstheme="minorHAnsi"/>
        </w:rPr>
      </w:pPr>
    </w:p>
    <w:p w14:paraId="4EF9F513" w14:textId="77777777" w:rsidR="00DB1D12" w:rsidRPr="003073C1" w:rsidRDefault="00DB1D12" w:rsidP="00EF69CE">
      <w:pPr>
        <w:rPr>
          <w:rFonts w:cstheme="minorHAnsi"/>
          <w:lang w:val="en"/>
        </w:rPr>
      </w:pPr>
      <w:bookmarkStart w:id="4" w:name="_Toc436229803"/>
      <w:r w:rsidRPr="003073C1">
        <w:rPr>
          <w:rFonts w:eastAsia="Times New Roman" w:cstheme="minorHAnsi"/>
        </w:rPr>
        <w:t>Barnsley College is an outstanding college with an outstanding approach to, and application of, its statutory duties. There is always work to be done and there will be no ‘resting on laurels’, due to the rigorous processes and high ambitions embodied by our approach to fairness, dignity and advancement for all.</w:t>
      </w:r>
      <w:r w:rsidRPr="003073C1">
        <w:rPr>
          <w:rFonts w:cstheme="minorHAnsi"/>
          <w:lang w:val="en"/>
        </w:rPr>
        <w:t xml:space="preserve"> </w:t>
      </w:r>
    </w:p>
    <w:p w14:paraId="56A7F2B5" w14:textId="77777777" w:rsidR="00DB1D12" w:rsidRPr="003073C1" w:rsidRDefault="00DB1D12" w:rsidP="00EF69CE">
      <w:pPr>
        <w:ind w:right="95"/>
        <w:rPr>
          <w:rFonts w:eastAsia="Times New Roman" w:cstheme="minorHAnsi"/>
        </w:rPr>
      </w:pPr>
    </w:p>
    <w:bookmarkEnd w:id="4"/>
    <w:p w14:paraId="1A3FBCFB" w14:textId="77777777" w:rsidR="009F0866" w:rsidRPr="003073C1" w:rsidRDefault="009F0866" w:rsidP="00BA35AE">
      <w:pPr>
        <w:rPr>
          <w:rFonts w:cstheme="minorHAnsi"/>
          <w:b/>
        </w:rPr>
      </w:pPr>
    </w:p>
    <w:sectPr w:rsidR="009F0866" w:rsidRPr="003073C1" w:rsidSect="009F086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4BE3"/>
    <w:multiLevelType w:val="hybridMultilevel"/>
    <w:tmpl w:val="F372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13DF3"/>
    <w:multiLevelType w:val="hybridMultilevel"/>
    <w:tmpl w:val="03A2C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7467E2"/>
    <w:multiLevelType w:val="hybridMultilevel"/>
    <w:tmpl w:val="120A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9B763EE"/>
    <w:multiLevelType w:val="hybridMultilevel"/>
    <w:tmpl w:val="5BC89012"/>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A6A51"/>
    <w:multiLevelType w:val="hybridMultilevel"/>
    <w:tmpl w:val="E09A0B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66246E"/>
    <w:multiLevelType w:val="hybridMultilevel"/>
    <w:tmpl w:val="A5CA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057683">
    <w:abstractNumId w:val="5"/>
  </w:num>
  <w:num w:numId="2" w16cid:durableId="1127745442">
    <w:abstractNumId w:val="7"/>
  </w:num>
  <w:num w:numId="3" w16cid:durableId="226569860">
    <w:abstractNumId w:val="4"/>
  </w:num>
  <w:num w:numId="4" w16cid:durableId="325401676">
    <w:abstractNumId w:val="3"/>
  </w:num>
  <w:num w:numId="5" w16cid:durableId="29310036">
    <w:abstractNumId w:val="9"/>
  </w:num>
  <w:num w:numId="6" w16cid:durableId="1762870535">
    <w:abstractNumId w:val="1"/>
  </w:num>
  <w:num w:numId="7" w16cid:durableId="20447464">
    <w:abstractNumId w:val="2"/>
  </w:num>
  <w:num w:numId="8" w16cid:durableId="145319102">
    <w:abstractNumId w:val="6"/>
  </w:num>
  <w:num w:numId="9" w16cid:durableId="168836107">
    <w:abstractNumId w:val="0"/>
  </w:num>
  <w:num w:numId="10" w16cid:durableId="1770202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12"/>
    <w:rsid w:val="0001277C"/>
    <w:rsid w:val="00035B0D"/>
    <w:rsid w:val="000420E4"/>
    <w:rsid w:val="000450A8"/>
    <w:rsid w:val="00045231"/>
    <w:rsid w:val="00085433"/>
    <w:rsid w:val="00087FB1"/>
    <w:rsid w:val="000968C0"/>
    <w:rsid w:val="000C191B"/>
    <w:rsid w:val="000D38B4"/>
    <w:rsid w:val="000D6077"/>
    <w:rsid w:val="000D65D6"/>
    <w:rsid w:val="000E4429"/>
    <w:rsid w:val="000F1A13"/>
    <w:rsid w:val="000F5B9E"/>
    <w:rsid w:val="00102DEB"/>
    <w:rsid w:val="00134B28"/>
    <w:rsid w:val="00182DA9"/>
    <w:rsid w:val="001A02E5"/>
    <w:rsid w:val="001A3D01"/>
    <w:rsid w:val="001B362B"/>
    <w:rsid w:val="001B56ED"/>
    <w:rsid w:val="001C566D"/>
    <w:rsid w:val="001D506F"/>
    <w:rsid w:val="001F5D10"/>
    <w:rsid w:val="00205257"/>
    <w:rsid w:val="0021422A"/>
    <w:rsid w:val="00232A64"/>
    <w:rsid w:val="00233DA4"/>
    <w:rsid w:val="00241176"/>
    <w:rsid w:val="00241F0F"/>
    <w:rsid w:val="002459DA"/>
    <w:rsid w:val="00245F5F"/>
    <w:rsid w:val="00252F45"/>
    <w:rsid w:val="00255AC9"/>
    <w:rsid w:val="00255BFC"/>
    <w:rsid w:val="00262D39"/>
    <w:rsid w:val="0029037C"/>
    <w:rsid w:val="002B15CA"/>
    <w:rsid w:val="002C000F"/>
    <w:rsid w:val="002F1FF0"/>
    <w:rsid w:val="002F7DEE"/>
    <w:rsid w:val="0030196A"/>
    <w:rsid w:val="003073C1"/>
    <w:rsid w:val="00322EB1"/>
    <w:rsid w:val="00354FAD"/>
    <w:rsid w:val="00360FF6"/>
    <w:rsid w:val="00375E65"/>
    <w:rsid w:val="00381ACA"/>
    <w:rsid w:val="00384581"/>
    <w:rsid w:val="00395FFB"/>
    <w:rsid w:val="003E6FA8"/>
    <w:rsid w:val="004156EA"/>
    <w:rsid w:val="0042274E"/>
    <w:rsid w:val="00434024"/>
    <w:rsid w:val="00434927"/>
    <w:rsid w:val="00437900"/>
    <w:rsid w:val="00461602"/>
    <w:rsid w:val="00470560"/>
    <w:rsid w:val="00484F65"/>
    <w:rsid w:val="00490B6A"/>
    <w:rsid w:val="004C1DCC"/>
    <w:rsid w:val="004C2F42"/>
    <w:rsid w:val="004C6118"/>
    <w:rsid w:val="004D054F"/>
    <w:rsid w:val="004D74E0"/>
    <w:rsid w:val="004D7ACD"/>
    <w:rsid w:val="004E6D67"/>
    <w:rsid w:val="00582F99"/>
    <w:rsid w:val="005D2A60"/>
    <w:rsid w:val="005D5EE5"/>
    <w:rsid w:val="006308FA"/>
    <w:rsid w:val="00653E66"/>
    <w:rsid w:val="00655048"/>
    <w:rsid w:val="00661C57"/>
    <w:rsid w:val="006653EE"/>
    <w:rsid w:val="0067401C"/>
    <w:rsid w:val="00681D69"/>
    <w:rsid w:val="00690847"/>
    <w:rsid w:val="006A5898"/>
    <w:rsid w:val="006C30D5"/>
    <w:rsid w:val="006C631C"/>
    <w:rsid w:val="006E0CA9"/>
    <w:rsid w:val="006F1B45"/>
    <w:rsid w:val="006F355A"/>
    <w:rsid w:val="006F56FE"/>
    <w:rsid w:val="006F61B6"/>
    <w:rsid w:val="007017EC"/>
    <w:rsid w:val="00703441"/>
    <w:rsid w:val="00726EA0"/>
    <w:rsid w:val="0074579A"/>
    <w:rsid w:val="00761C31"/>
    <w:rsid w:val="007667CC"/>
    <w:rsid w:val="00783D21"/>
    <w:rsid w:val="00786894"/>
    <w:rsid w:val="007A0287"/>
    <w:rsid w:val="007C082A"/>
    <w:rsid w:val="008271DB"/>
    <w:rsid w:val="008412DB"/>
    <w:rsid w:val="008505FF"/>
    <w:rsid w:val="00873ADA"/>
    <w:rsid w:val="00881C39"/>
    <w:rsid w:val="008948D0"/>
    <w:rsid w:val="008A0742"/>
    <w:rsid w:val="008C05EC"/>
    <w:rsid w:val="008D6C60"/>
    <w:rsid w:val="008E5837"/>
    <w:rsid w:val="008F59A8"/>
    <w:rsid w:val="00904E25"/>
    <w:rsid w:val="009218BC"/>
    <w:rsid w:val="00931C37"/>
    <w:rsid w:val="00941504"/>
    <w:rsid w:val="00941E66"/>
    <w:rsid w:val="00943574"/>
    <w:rsid w:val="00975DDE"/>
    <w:rsid w:val="00981E32"/>
    <w:rsid w:val="009872F5"/>
    <w:rsid w:val="009A2C0D"/>
    <w:rsid w:val="009B494F"/>
    <w:rsid w:val="009C48F9"/>
    <w:rsid w:val="009E10F2"/>
    <w:rsid w:val="009F0866"/>
    <w:rsid w:val="00A00037"/>
    <w:rsid w:val="00A10D86"/>
    <w:rsid w:val="00A12579"/>
    <w:rsid w:val="00A1384E"/>
    <w:rsid w:val="00A1643E"/>
    <w:rsid w:val="00A331BF"/>
    <w:rsid w:val="00A50779"/>
    <w:rsid w:val="00A63E0B"/>
    <w:rsid w:val="00A96E67"/>
    <w:rsid w:val="00AD3DC1"/>
    <w:rsid w:val="00AF45D8"/>
    <w:rsid w:val="00B10DFC"/>
    <w:rsid w:val="00B24DF8"/>
    <w:rsid w:val="00B356D4"/>
    <w:rsid w:val="00B43A32"/>
    <w:rsid w:val="00B47E51"/>
    <w:rsid w:val="00B614F0"/>
    <w:rsid w:val="00B660D0"/>
    <w:rsid w:val="00B955A0"/>
    <w:rsid w:val="00BA35AE"/>
    <w:rsid w:val="00BE6753"/>
    <w:rsid w:val="00C15CFD"/>
    <w:rsid w:val="00C22760"/>
    <w:rsid w:val="00C34CA8"/>
    <w:rsid w:val="00C51ED4"/>
    <w:rsid w:val="00C56584"/>
    <w:rsid w:val="00C67952"/>
    <w:rsid w:val="00CE4DE4"/>
    <w:rsid w:val="00CE78C6"/>
    <w:rsid w:val="00D01EF5"/>
    <w:rsid w:val="00D07201"/>
    <w:rsid w:val="00D22795"/>
    <w:rsid w:val="00D25B24"/>
    <w:rsid w:val="00D3310C"/>
    <w:rsid w:val="00D37610"/>
    <w:rsid w:val="00D43F39"/>
    <w:rsid w:val="00D53E93"/>
    <w:rsid w:val="00D744C2"/>
    <w:rsid w:val="00D8422D"/>
    <w:rsid w:val="00D855EA"/>
    <w:rsid w:val="00D8580F"/>
    <w:rsid w:val="00DA5030"/>
    <w:rsid w:val="00DA5B52"/>
    <w:rsid w:val="00DB1D12"/>
    <w:rsid w:val="00DB6BFA"/>
    <w:rsid w:val="00DE1960"/>
    <w:rsid w:val="00DE56A4"/>
    <w:rsid w:val="00DE6CEC"/>
    <w:rsid w:val="00E27454"/>
    <w:rsid w:val="00E30980"/>
    <w:rsid w:val="00E32388"/>
    <w:rsid w:val="00E455C7"/>
    <w:rsid w:val="00E672A2"/>
    <w:rsid w:val="00E71F92"/>
    <w:rsid w:val="00E737D8"/>
    <w:rsid w:val="00E8522B"/>
    <w:rsid w:val="00E978DA"/>
    <w:rsid w:val="00EA1101"/>
    <w:rsid w:val="00EC795C"/>
    <w:rsid w:val="00EF29C6"/>
    <w:rsid w:val="00EF69CE"/>
    <w:rsid w:val="00EF6E20"/>
    <w:rsid w:val="00EF7C4D"/>
    <w:rsid w:val="00F157FC"/>
    <w:rsid w:val="00F66049"/>
    <w:rsid w:val="00F67A78"/>
    <w:rsid w:val="00F7563C"/>
    <w:rsid w:val="00F81481"/>
    <w:rsid w:val="00FB71B0"/>
    <w:rsid w:val="00FC46C1"/>
    <w:rsid w:val="00FE2594"/>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0E38"/>
  <w15:docId w15:val="{6DDAE0A1-0595-45F9-AC38-6B477149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E6FA8"/>
    <w:pPr>
      <w:numPr>
        <w:numId w:val="1"/>
      </w:numPr>
      <w:spacing w:before="120" w:after="100" w:afterAutospacing="1"/>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rsid w:val="008948D0"/>
  </w:style>
  <w:style w:type="character" w:customStyle="1" w:styleId="BulletList1Char">
    <w:name w:val="Bullet List 1 Char"/>
    <w:basedOn w:val="ListParagraphChar"/>
    <w:link w:val="BulletList1"/>
    <w:uiPriority w:val="2"/>
    <w:rsid w:val="003E6FA8"/>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
    <w:qFormat/>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customStyle="1" w:styleId="Default">
    <w:name w:val="Default"/>
    <w:rsid w:val="00DB1D12"/>
    <w:pPr>
      <w:autoSpaceDE w:val="0"/>
      <w:autoSpaceDN w:val="0"/>
      <w:adjustRightInd w:val="0"/>
      <w:spacing w:after="160" w:line="252" w:lineRule="auto"/>
      <w:jc w:val="both"/>
    </w:pPr>
    <w:rPr>
      <w:rFonts w:ascii="Tahoma" w:hAnsi="Tahoma" w:cs="Tahoma"/>
      <w:color w:val="000000"/>
      <w:sz w:val="24"/>
      <w:szCs w:val="24"/>
      <w:lang w:eastAsia="en-GB"/>
    </w:rPr>
  </w:style>
  <w:style w:type="paragraph" w:customStyle="1" w:styleId="Bulletsspaced">
    <w:name w:val="Bullets (spaced)"/>
    <w:basedOn w:val="Normal"/>
    <w:link w:val="BulletsspacedChar"/>
    <w:autoRedefine/>
    <w:rsid w:val="00DB1D12"/>
    <w:pPr>
      <w:tabs>
        <w:tab w:val="left" w:pos="567"/>
      </w:tabs>
      <w:spacing w:before="120"/>
      <w:jc w:val="both"/>
    </w:pPr>
    <w:rPr>
      <w:rFonts w:cs="Arial"/>
      <w:b/>
      <w:i/>
      <w:lang w:eastAsia="en-GB"/>
    </w:rPr>
  </w:style>
  <w:style w:type="character" w:customStyle="1" w:styleId="BulletsspacedChar">
    <w:name w:val="Bullets (spaced) Char"/>
    <w:link w:val="Bulletsspaced"/>
    <w:rsid w:val="00DB1D12"/>
    <w:rPr>
      <w:rFonts w:cs="Arial"/>
      <w:b/>
      <w:i/>
      <w:lang w:eastAsia="en-GB"/>
    </w:rPr>
  </w:style>
  <w:style w:type="table" w:customStyle="1" w:styleId="TableGrid1">
    <w:name w:val="Table Grid1"/>
    <w:basedOn w:val="TableNormal"/>
    <w:next w:val="TableGrid"/>
    <w:rsid w:val="00DB1D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DB1D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1C37"/>
    <w:rPr>
      <w:sz w:val="16"/>
      <w:szCs w:val="16"/>
    </w:rPr>
  </w:style>
  <w:style w:type="paragraph" w:styleId="CommentText">
    <w:name w:val="annotation text"/>
    <w:basedOn w:val="Normal"/>
    <w:link w:val="CommentTextChar"/>
    <w:uiPriority w:val="99"/>
    <w:semiHidden/>
    <w:unhideWhenUsed/>
    <w:rsid w:val="00931C37"/>
    <w:rPr>
      <w:sz w:val="20"/>
      <w:szCs w:val="20"/>
    </w:rPr>
  </w:style>
  <w:style w:type="character" w:customStyle="1" w:styleId="CommentTextChar">
    <w:name w:val="Comment Text Char"/>
    <w:basedOn w:val="DefaultParagraphFont"/>
    <w:link w:val="CommentText"/>
    <w:uiPriority w:val="99"/>
    <w:semiHidden/>
    <w:rsid w:val="00931C37"/>
    <w:rPr>
      <w:sz w:val="20"/>
      <w:szCs w:val="20"/>
    </w:rPr>
  </w:style>
  <w:style w:type="paragraph" w:styleId="CommentSubject">
    <w:name w:val="annotation subject"/>
    <w:basedOn w:val="CommentText"/>
    <w:next w:val="CommentText"/>
    <w:link w:val="CommentSubjectChar"/>
    <w:uiPriority w:val="99"/>
    <w:semiHidden/>
    <w:unhideWhenUsed/>
    <w:rsid w:val="00931C37"/>
    <w:rPr>
      <w:b/>
      <w:bCs/>
    </w:rPr>
  </w:style>
  <w:style w:type="character" w:customStyle="1" w:styleId="CommentSubjectChar">
    <w:name w:val="Comment Subject Char"/>
    <w:basedOn w:val="CommentTextChar"/>
    <w:link w:val="CommentSubject"/>
    <w:uiPriority w:val="99"/>
    <w:semiHidden/>
    <w:rsid w:val="00931C37"/>
    <w:rPr>
      <w:b/>
      <w:bCs/>
      <w:sz w:val="20"/>
      <w:szCs w:val="20"/>
    </w:rPr>
  </w:style>
  <w:style w:type="paragraph" w:styleId="BalloonText">
    <w:name w:val="Balloon Text"/>
    <w:basedOn w:val="Normal"/>
    <w:link w:val="BalloonTextChar"/>
    <w:uiPriority w:val="99"/>
    <w:semiHidden/>
    <w:unhideWhenUsed/>
    <w:rsid w:val="00931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37"/>
    <w:rPr>
      <w:rFonts w:ascii="Segoe UI" w:hAnsi="Segoe UI" w:cs="Segoe UI"/>
      <w:sz w:val="18"/>
      <w:szCs w:val="18"/>
    </w:rPr>
  </w:style>
  <w:style w:type="paragraph" w:styleId="NormalWeb">
    <w:name w:val="Normal (Web)"/>
    <w:basedOn w:val="Normal"/>
    <w:uiPriority w:val="99"/>
    <w:semiHidden/>
    <w:unhideWhenUsed/>
    <w:rsid w:val="00904E25"/>
    <w:pPr>
      <w:spacing w:before="100" w:beforeAutospacing="1" w:after="240"/>
    </w:pPr>
    <w:rPr>
      <w:rFonts w:ascii="Times New Roman" w:eastAsia="Times New Roman" w:hAnsi="Times New Roman" w:cs="Times New Roman"/>
      <w:sz w:val="24"/>
      <w:szCs w:val="24"/>
      <w:lang w:eastAsia="en-GB"/>
    </w:rPr>
  </w:style>
  <w:style w:type="character" w:customStyle="1" w:styleId="contentpasted1">
    <w:name w:val="contentpasted1"/>
    <w:basedOn w:val="DefaultParagraphFont"/>
    <w:rsid w:val="00A331BF"/>
  </w:style>
  <w:style w:type="character" w:customStyle="1" w:styleId="authorortitle">
    <w:name w:val="authorortitle"/>
    <w:basedOn w:val="DefaultParagraphFont"/>
    <w:rsid w:val="0076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61408">
      <w:bodyDiv w:val="1"/>
      <w:marLeft w:val="0"/>
      <w:marRight w:val="0"/>
      <w:marTop w:val="0"/>
      <w:marBottom w:val="0"/>
      <w:divBdr>
        <w:top w:val="none" w:sz="0" w:space="0" w:color="auto"/>
        <w:left w:val="none" w:sz="0" w:space="0" w:color="auto"/>
        <w:bottom w:val="none" w:sz="0" w:space="0" w:color="auto"/>
        <w:right w:val="none" w:sz="0" w:space="0" w:color="auto"/>
      </w:divBdr>
    </w:div>
    <w:div w:id="1125583661">
      <w:bodyDiv w:val="1"/>
      <w:marLeft w:val="0"/>
      <w:marRight w:val="0"/>
      <w:marTop w:val="0"/>
      <w:marBottom w:val="0"/>
      <w:divBdr>
        <w:top w:val="none" w:sz="0" w:space="0" w:color="auto"/>
        <w:left w:val="none" w:sz="0" w:space="0" w:color="auto"/>
        <w:bottom w:val="none" w:sz="0" w:space="0" w:color="auto"/>
        <w:right w:val="none" w:sz="0" w:space="0" w:color="auto"/>
      </w:divBdr>
      <w:divsChild>
        <w:div w:id="1029641663">
          <w:marLeft w:val="0"/>
          <w:marRight w:val="0"/>
          <w:marTop w:val="0"/>
          <w:marBottom w:val="0"/>
          <w:divBdr>
            <w:top w:val="none" w:sz="0" w:space="0" w:color="auto"/>
            <w:left w:val="none" w:sz="0" w:space="0" w:color="auto"/>
            <w:bottom w:val="none" w:sz="0" w:space="0" w:color="auto"/>
            <w:right w:val="none" w:sz="0" w:space="0" w:color="auto"/>
          </w:divBdr>
          <w:divsChild>
            <w:div w:id="812406742">
              <w:marLeft w:val="0"/>
              <w:marRight w:val="0"/>
              <w:marTop w:val="0"/>
              <w:marBottom w:val="0"/>
              <w:divBdr>
                <w:top w:val="none" w:sz="0" w:space="0" w:color="auto"/>
                <w:left w:val="none" w:sz="0" w:space="0" w:color="auto"/>
                <w:bottom w:val="none" w:sz="0" w:space="0" w:color="auto"/>
                <w:right w:val="none" w:sz="0" w:space="0" w:color="auto"/>
              </w:divBdr>
              <w:divsChild>
                <w:div w:id="1889880851">
                  <w:marLeft w:val="0"/>
                  <w:marRight w:val="0"/>
                  <w:marTop w:val="0"/>
                  <w:marBottom w:val="0"/>
                  <w:divBdr>
                    <w:top w:val="none" w:sz="0" w:space="0" w:color="auto"/>
                    <w:left w:val="none" w:sz="0" w:space="0" w:color="auto"/>
                    <w:bottom w:val="none" w:sz="0" w:space="0" w:color="auto"/>
                    <w:right w:val="none" w:sz="0" w:space="0" w:color="auto"/>
                  </w:divBdr>
                  <w:divsChild>
                    <w:div w:id="1844398405">
                      <w:marLeft w:val="0"/>
                      <w:marRight w:val="0"/>
                      <w:marTop w:val="0"/>
                      <w:marBottom w:val="0"/>
                      <w:divBdr>
                        <w:top w:val="none" w:sz="0" w:space="0" w:color="auto"/>
                        <w:left w:val="none" w:sz="0" w:space="0" w:color="auto"/>
                        <w:bottom w:val="none" w:sz="0" w:space="0" w:color="auto"/>
                        <w:right w:val="none" w:sz="0" w:space="0" w:color="auto"/>
                      </w:divBdr>
                      <w:divsChild>
                        <w:div w:id="1856528233">
                          <w:marLeft w:val="0"/>
                          <w:marRight w:val="0"/>
                          <w:marTop w:val="480"/>
                          <w:marBottom w:val="0"/>
                          <w:divBdr>
                            <w:top w:val="none" w:sz="0" w:space="0" w:color="auto"/>
                            <w:left w:val="none" w:sz="0" w:space="0" w:color="auto"/>
                            <w:bottom w:val="none" w:sz="0" w:space="0" w:color="auto"/>
                            <w:right w:val="none" w:sz="0" w:space="0" w:color="auto"/>
                          </w:divBdr>
                          <w:divsChild>
                            <w:div w:id="786201401">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219598">
      <w:bodyDiv w:val="1"/>
      <w:marLeft w:val="0"/>
      <w:marRight w:val="0"/>
      <w:marTop w:val="0"/>
      <w:marBottom w:val="0"/>
      <w:divBdr>
        <w:top w:val="none" w:sz="0" w:space="0" w:color="auto"/>
        <w:left w:val="none" w:sz="0" w:space="0" w:color="auto"/>
        <w:bottom w:val="none" w:sz="0" w:space="0" w:color="auto"/>
        <w:right w:val="none" w:sz="0" w:space="0" w:color="auto"/>
      </w:divBdr>
    </w:div>
    <w:div w:id="1668749484">
      <w:bodyDiv w:val="1"/>
      <w:marLeft w:val="0"/>
      <w:marRight w:val="0"/>
      <w:marTop w:val="0"/>
      <w:marBottom w:val="0"/>
      <w:divBdr>
        <w:top w:val="none" w:sz="0" w:space="0" w:color="auto"/>
        <w:left w:val="none" w:sz="0" w:space="0" w:color="auto"/>
        <w:bottom w:val="none" w:sz="0" w:space="0" w:color="auto"/>
        <w:right w:val="none" w:sz="0" w:space="0" w:color="auto"/>
      </w:divBdr>
    </w:div>
    <w:div w:id="1834448088">
      <w:bodyDiv w:val="1"/>
      <w:marLeft w:val="0"/>
      <w:marRight w:val="0"/>
      <w:marTop w:val="0"/>
      <w:marBottom w:val="0"/>
      <w:divBdr>
        <w:top w:val="none" w:sz="0" w:space="0" w:color="auto"/>
        <w:left w:val="none" w:sz="0" w:space="0" w:color="auto"/>
        <w:bottom w:val="none" w:sz="0" w:space="0" w:color="auto"/>
        <w:right w:val="none" w:sz="0" w:space="0" w:color="auto"/>
      </w:divBdr>
      <w:divsChild>
        <w:div w:id="1330793243">
          <w:marLeft w:val="0"/>
          <w:marRight w:val="0"/>
          <w:marTop w:val="0"/>
          <w:marBottom w:val="0"/>
          <w:divBdr>
            <w:top w:val="none" w:sz="0" w:space="0" w:color="auto"/>
            <w:left w:val="none" w:sz="0" w:space="0" w:color="auto"/>
            <w:bottom w:val="none" w:sz="0" w:space="0" w:color="auto"/>
            <w:right w:val="none" w:sz="0" w:space="0" w:color="auto"/>
          </w:divBdr>
          <w:divsChild>
            <w:div w:id="301619622">
              <w:marLeft w:val="0"/>
              <w:marRight w:val="0"/>
              <w:marTop w:val="0"/>
              <w:marBottom w:val="0"/>
              <w:divBdr>
                <w:top w:val="none" w:sz="0" w:space="0" w:color="auto"/>
                <w:left w:val="none" w:sz="0" w:space="0" w:color="auto"/>
                <w:bottom w:val="none" w:sz="0" w:space="0" w:color="auto"/>
                <w:right w:val="none" w:sz="0" w:space="0" w:color="auto"/>
              </w:divBdr>
              <w:divsChild>
                <w:div w:id="186529306">
                  <w:marLeft w:val="0"/>
                  <w:marRight w:val="0"/>
                  <w:marTop w:val="0"/>
                  <w:marBottom w:val="0"/>
                  <w:divBdr>
                    <w:top w:val="none" w:sz="0" w:space="0" w:color="auto"/>
                    <w:left w:val="none" w:sz="0" w:space="0" w:color="auto"/>
                    <w:bottom w:val="none" w:sz="0" w:space="0" w:color="auto"/>
                    <w:right w:val="none" w:sz="0" w:space="0" w:color="auto"/>
                  </w:divBdr>
                  <w:divsChild>
                    <w:div w:id="2097939526">
                      <w:marLeft w:val="0"/>
                      <w:marRight w:val="0"/>
                      <w:marTop w:val="0"/>
                      <w:marBottom w:val="0"/>
                      <w:divBdr>
                        <w:top w:val="none" w:sz="0" w:space="0" w:color="auto"/>
                        <w:left w:val="none" w:sz="0" w:space="0" w:color="auto"/>
                        <w:bottom w:val="none" w:sz="0" w:space="0" w:color="auto"/>
                        <w:right w:val="none" w:sz="0" w:space="0" w:color="auto"/>
                      </w:divBdr>
                      <w:divsChild>
                        <w:div w:id="103503721">
                          <w:marLeft w:val="0"/>
                          <w:marRight w:val="0"/>
                          <w:marTop w:val="480"/>
                          <w:marBottom w:val="0"/>
                          <w:divBdr>
                            <w:top w:val="none" w:sz="0" w:space="0" w:color="auto"/>
                            <w:left w:val="none" w:sz="0" w:space="0" w:color="auto"/>
                            <w:bottom w:val="none" w:sz="0" w:space="0" w:color="auto"/>
                            <w:right w:val="none" w:sz="0" w:space="0" w:color="auto"/>
                          </w:divBdr>
                          <w:divsChild>
                            <w:div w:id="509486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1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9A265EBA7E8E4BA863C6A0CB54AD0D" ma:contentTypeVersion="13" ma:contentTypeDescription="Create a new document." ma:contentTypeScope="" ma:versionID="dddb597cfefb3b6dbde42ba4bfa677bd">
  <xsd:schema xmlns:xsd="http://www.w3.org/2001/XMLSchema" xmlns:xs="http://www.w3.org/2001/XMLSchema" xmlns:p="http://schemas.microsoft.com/office/2006/metadata/properties" xmlns:ns3="38b26476-ce70-42d3-bec6-aa92628f9ed4" xmlns:ns4="ce3ec62e-4af9-468c-8c3b-1136e585e6b6" targetNamespace="http://schemas.microsoft.com/office/2006/metadata/properties" ma:root="true" ma:fieldsID="ef3172522c6d15ca7ecf6ea9fee59a75" ns3:_="" ns4:_="">
    <xsd:import namespace="38b26476-ce70-42d3-bec6-aa92628f9ed4"/>
    <xsd:import namespace="ce3ec62e-4af9-468c-8c3b-1136e585e6b6"/>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26476-ce70-42d3-bec6-aa92628f9e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ec62e-4af9-468c-8c3b-1136e585e6b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34146-E699-4B64-8F28-90B7FEC65A94}">
  <ds:schemaRefs>
    <ds:schemaRef ds:uri="http://schemas.microsoft.com/sharepoint/v3/contenttype/forms"/>
  </ds:schemaRefs>
</ds:datastoreItem>
</file>

<file path=customXml/itemProps2.xml><?xml version="1.0" encoding="utf-8"?>
<ds:datastoreItem xmlns:ds="http://schemas.openxmlformats.org/officeDocument/2006/customXml" ds:itemID="{F6D644ED-B499-405C-8826-151260BA73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036ED-B4C2-4844-924E-2BD7CD7DE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26476-ce70-42d3-bec6-aa92628f9ed4"/>
    <ds:schemaRef ds:uri="ce3ec62e-4af9-468c-8c3b-1136e585e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Pitcher</dc:creator>
  <cp:lastModifiedBy>Lauren Williams</cp:lastModifiedBy>
  <cp:revision>2</cp:revision>
  <cp:lastPrinted>2022-11-08T09:47:00Z</cp:lastPrinted>
  <dcterms:created xsi:type="dcterms:W3CDTF">2023-09-28T13:45:00Z</dcterms:created>
  <dcterms:modified xsi:type="dcterms:W3CDTF">2023-09-28T13:45:00Z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0x010100A99A265EBA7E8E4BA863C6A0CB54AD0D</vt:lpwstr>
  </property>
</Properties>
</file>